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E1" w:rsidRDefault="00313DE1" w:rsidP="00313D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313DE1">
        <w:rPr>
          <w:rFonts w:ascii="Times New Roman" w:hAnsi="Times New Roman" w:cs="Times New Roman"/>
          <w:sz w:val="20"/>
          <w:szCs w:val="20"/>
        </w:rPr>
        <w:t>Приложение</w:t>
      </w:r>
    </w:p>
    <w:p w:rsidR="0034078F" w:rsidRDefault="0034078F" w:rsidP="00313DE1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343961" w:rsidRPr="00B56110" w:rsidRDefault="00343961" w:rsidP="003439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110">
        <w:rPr>
          <w:rFonts w:ascii="Times New Roman" w:hAnsi="Times New Roman"/>
          <w:b/>
          <w:sz w:val="24"/>
          <w:szCs w:val="24"/>
        </w:rPr>
        <w:t xml:space="preserve">В </w:t>
      </w:r>
      <w:r w:rsidRPr="00F641A3">
        <w:rPr>
          <w:rFonts w:ascii="Times New Roman" w:hAnsi="Times New Roman"/>
          <w:b/>
          <w:sz w:val="24"/>
          <w:szCs w:val="24"/>
        </w:rPr>
        <w:t xml:space="preserve">2024 </w:t>
      </w:r>
      <w:r>
        <w:rPr>
          <w:rFonts w:ascii="Times New Roman" w:hAnsi="Times New Roman"/>
          <w:b/>
          <w:sz w:val="24"/>
          <w:szCs w:val="24"/>
        </w:rPr>
        <w:t>году в региональном Управлении получили КЭП более 5,6 тыс. юридических лиц и индивидуальных предпринимателей</w:t>
      </w:r>
    </w:p>
    <w:p w:rsidR="00343961" w:rsidRDefault="00343961" w:rsidP="0034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22D6">
        <w:rPr>
          <w:rFonts w:ascii="Times New Roman" w:hAnsi="Times New Roman"/>
          <w:sz w:val="24"/>
          <w:szCs w:val="24"/>
        </w:rPr>
        <w:t>Основным элементом обмена документацией в онлайн - режиме является электронная подпись. С 01.01.2022 обязанность по выпуску квалифицированной электронной подписи (КЭП) возлагается на Федеральную налоговую службу (</w:t>
      </w:r>
      <w:hyperlink r:id="rId9" w:history="1">
        <w:r w:rsidRPr="002222D6">
          <w:rPr>
            <w:rFonts w:ascii="Times New Roman" w:hAnsi="Times New Roman"/>
            <w:sz w:val="24"/>
            <w:szCs w:val="24"/>
          </w:rPr>
          <w:t>пункты выдачи КЭП</w:t>
        </w:r>
      </w:hyperlink>
      <w:r w:rsidRPr="002222D6">
        <w:rPr>
          <w:rFonts w:ascii="Times New Roman" w:hAnsi="Times New Roman"/>
          <w:sz w:val="24"/>
          <w:szCs w:val="24"/>
        </w:rPr>
        <w:t>).</w:t>
      </w: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222D6">
        <w:rPr>
          <w:rFonts w:ascii="Times New Roman" w:hAnsi="Times New Roman"/>
          <w:bCs/>
          <w:sz w:val="24"/>
          <w:szCs w:val="24"/>
        </w:rPr>
        <w:t>За 7 месяцев 2024 года УФНС по Новгородской области выдано более 5,6 тыс.</w:t>
      </w:r>
      <w:r w:rsidRPr="002222D6">
        <w:rPr>
          <w:rFonts w:ascii="Times New Roman" w:hAnsi="Times New Roman"/>
          <w:sz w:val="24"/>
          <w:szCs w:val="24"/>
        </w:rPr>
        <w:t xml:space="preserve"> КЭП, в том числе юридическим лицам – более 2,6 тыс. КЭП, индивидуальным предпринимателям – более 3 тыс. КЭП.</w:t>
      </w:r>
    </w:p>
    <w:p w:rsidR="00FF6D99" w:rsidRDefault="00343961" w:rsidP="00FF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222D6">
        <w:rPr>
          <w:rFonts w:ascii="Times New Roman" w:hAnsi="Times New Roman"/>
          <w:color w:val="222222"/>
          <w:sz w:val="24"/>
          <w:szCs w:val="24"/>
        </w:rPr>
        <w:t>Использование КЭП регулируется Федеральным законом от 06.04.2011 </w:t>
      </w:r>
      <w:hyperlink r:id="rId10" w:tgtFrame="_blank" w:history="1">
        <w:r w:rsidRPr="002222D6">
          <w:rPr>
            <w:rFonts w:ascii="Times New Roman" w:hAnsi="Times New Roman"/>
            <w:sz w:val="24"/>
            <w:szCs w:val="24"/>
          </w:rPr>
          <w:t>№ 63-ФЗ</w:t>
        </w:r>
      </w:hyperlink>
      <w:r w:rsidRPr="002222D6">
        <w:rPr>
          <w:rFonts w:ascii="Times New Roman" w:hAnsi="Times New Roman"/>
          <w:sz w:val="24"/>
          <w:szCs w:val="24"/>
        </w:rPr>
        <w:t> (в редакции Федерального закона от 04.08.2023 № 457 - ФЗ)</w:t>
      </w:r>
      <w:r w:rsidRPr="002222D6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222D6">
        <w:rPr>
          <w:rFonts w:ascii="Times New Roman" w:hAnsi="Times New Roman"/>
          <w:color w:val="222222"/>
          <w:sz w:val="24"/>
          <w:szCs w:val="24"/>
        </w:rPr>
        <w:t>Согласно нормам данного закона:</w:t>
      </w:r>
    </w:p>
    <w:p w:rsidR="00343961" w:rsidRPr="002222D6" w:rsidRDefault="00343961" w:rsidP="00FF6D99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с</w:t>
      </w:r>
      <w:r w:rsidRPr="002222D6">
        <w:rPr>
          <w:rFonts w:ascii="Times New Roman" w:hAnsi="Times New Roman"/>
          <w:color w:val="222222"/>
          <w:sz w:val="24"/>
          <w:szCs w:val="24"/>
        </w:rPr>
        <w:t xml:space="preserve">ертификаты руководителям </w:t>
      </w:r>
      <w:r>
        <w:rPr>
          <w:rFonts w:ascii="Times New Roman" w:hAnsi="Times New Roman"/>
          <w:color w:val="222222"/>
          <w:sz w:val="24"/>
          <w:szCs w:val="24"/>
        </w:rPr>
        <w:t xml:space="preserve">юридических лиц </w:t>
      </w:r>
      <w:r w:rsidRPr="002222D6">
        <w:rPr>
          <w:rFonts w:ascii="Times New Roman" w:hAnsi="Times New Roman"/>
          <w:color w:val="222222"/>
          <w:sz w:val="24"/>
          <w:szCs w:val="24"/>
        </w:rPr>
        <w:t>и индивидуальным предпринимателям выдаются удостоверяющим центром ФНС России или его доверенными лицами.</w:t>
      </w:r>
    </w:p>
    <w:p w:rsidR="00343961" w:rsidRPr="002222D6" w:rsidRDefault="00343961" w:rsidP="00FF6D99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с</w:t>
      </w:r>
      <w:r w:rsidRPr="002222D6">
        <w:rPr>
          <w:rFonts w:ascii="Times New Roman" w:hAnsi="Times New Roman"/>
          <w:color w:val="222222"/>
          <w:sz w:val="24"/>
          <w:szCs w:val="24"/>
        </w:rPr>
        <w:t>отрудники юридических лиц подписывают документы для контролирующих органов сертификатами физических лиц.</w:t>
      </w:r>
    </w:p>
    <w:p w:rsidR="00343961" w:rsidRPr="002222D6" w:rsidRDefault="00343961" w:rsidP="00FF6D99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д</w:t>
      </w:r>
      <w:r w:rsidRPr="002222D6">
        <w:rPr>
          <w:rFonts w:ascii="Times New Roman" w:hAnsi="Times New Roman"/>
          <w:color w:val="222222"/>
          <w:sz w:val="24"/>
          <w:szCs w:val="24"/>
        </w:rPr>
        <w:t>ля подписания рабочих документов применяются машиночитаемые доверенности (МЧД).</w:t>
      </w:r>
    </w:p>
    <w:p w:rsidR="00343961" w:rsidRPr="002222D6" w:rsidRDefault="00343961" w:rsidP="00FF6D99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с</w:t>
      </w:r>
      <w:r w:rsidRPr="002222D6">
        <w:rPr>
          <w:rFonts w:ascii="Times New Roman" w:hAnsi="Times New Roman"/>
          <w:color w:val="222222"/>
          <w:sz w:val="24"/>
          <w:szCs w:val="24"/>
        </w:rPr>
        <w:t xml:space="preserve">ертификаты юридических лиц, выданные сотрудникам, будут действовать до 31.08.2024. </w:t>
      </w:r>
      <w:r>
        <w:rPr>
          <w:rFonts w:ascii="Times New Roman" w:hAnsi="Times New Roman"/>
          <w:color w:val="222222"/>
          <w:sz w:val="24"/>
          <w:szCs w:val="24"/>
        </w:rPr>
        <w:t>П</w:t>
      </w:r>
      <w:r w:rsidRPr="002222D6">
        <w:rPr>
          <w:rFonts w:ascii="Times New Roman" w:hAnsi="Times New Roman"/>
          <w:color w:val="222222"/>
          <w:sz w:val="24"/>
          <w:szCs w:val="24"/>
        </w:rPr>
        <w:t>осле этой даты документы, подписанные такими сертификатами, не будут иметь юридической силы. В обязательном порядке понадобится сертификат физического лица с приложением МЧД.</w:t>
      </w:r>
    </w:p>
    <w:p w:rsidR="00343961" w:rsidRPr="002222D6" w:rsidRDefault="00FF6D99" w:rsidP="00FF6D99">
      <w:pPr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с</w:t>
      </w:r>
      <w:r w:rsidR="00343961" w:rsidRPr="002222D6">
        <w:rPr>
          <w:rFonts w:ascii="Times New Roman" w:hAnsi="Times New Roman"/>
          <w:color w:val="222222"/>
          <w:sz w:val="24"/>
          <w:szCs w:val="24"/>
        </w:rPr>
        <w:t> 01.09.2024 сотрудник юридического лица может получить только сертификат физического лица.</w:t>
      </w: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222D6">
        <w:rPr>
          <w:rFonts w:ascii="Times New Roman" w:hAnsi="Times New Roman"/>
          <w:color w:val="222222"/>
          <w:sz w:val="24"/>
          <w:szCs w:val="24"/>
        </w:rPr>
        <w:t>Действие сертификатов сотрудников закончится 31.08.2024. После этой даты, для подписания документов от имени юридического лица, сотрудникам понадобится сертификат физического лица и МЧД от руководителя организации.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222D6">
        <w:rPr>
          <w:rFonts w:ascii="Times New Roman" w:hAnsi="Times New Roman"/>
          <w:color w:val="222222"/>
          <w:sz w:val="24"/>
          <w:szCs w:val="24"/>
        </w:rPr>
        <w:t xml:space="preserve">Сертификаты сотрудника, выпущенные до 01.09.2023, будут действовать до конца своего срока, но не позже 31.08.2024 года. </w:t>
      </w: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222D6">
        <w:rPr>
          <w:rFonts w:ascii="Times New Roman" w:hAnsi="Times New Roman"/>
          <w:color w:val="222222"/>
          <w:sz w:val="24"/>
          <w:szCs w:val="24"/>
        </w:rPr>
        <w:t>Сертификаты физических лиц отличаются от сертификатов сотрудников тем, что </w:t>
      </w:r>
      <w:r>
        <w:rPr>
          <w:rFonts w:ascii="Times New Roman" w:hAnsi="Times New Roman"/>
          <w:color w:val="222222"/>
          <w:sz w:val="24"/>
          <w:szCs w:val="24"/>
        </w:rPr>
        <w:t xml:space="preserve">не содержат </w:t>
      </w:r>
      <w:r w:rsidRPr="002222D6">
        <w:rPr>
          <w:rFonts w:ascii="Times New Roman" w:hAnsi="Times New Roman"/>
          <w:color w:val="222222"/>
          <w:sz w:val="24"/>
          <w:szCs w:val="24"/>
        </w:rPr>
        <w:t>никаких сведений об организации. В личном сертификате приводятся только данные физического лица, что позволяет владельцу пользоваться одним сертификатом сразу в нескольких организациях. В случае увольнения, сотрудник забирает свой сертификат физического лица. Организация не имеет права отозвать данный сертификат.</w:t>
      </w: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2222D6">
        <w:rPr>
          <w:rFonts w:ascii="Times New Roman" w:hAnsi="Times New Roman"/>
          <w:color w:val="222222"/>
          <w:sz w:val="24"/>
          <w:szCs w:val="24"/>
        </w:rPr>
        <w:t>Обращаем внимание, что для работы с несколькими организациями достаточно одного сертификата физического лица. Выпускать для каждой компании отдельный сертификат не надо, т.к. сертификаты будут отличаться друг от друга только датой выпуска. Главное условие – оформление директором каждой организации МЧД на имя сотрудника.</w:t>
      </w:r>
    </w:p>
    <w:p w:rsidR="00343961" w:rsidRPr="002222D6" w:rsidRDefault="00343961" w:rsidP="00FF6D99">
      <w:pPr>
        <w:pStyle w:val="a5"/>
        <w:spacing w:before="0" w:beforeAutospacing="0" w:after="0" w:afterAutospacing="0"/>
        <w:ind w:firstLine="709"/>
        <w:jc w:val="both"/>
      </w:pPr>
      <w:r w:rsidRPr="002222D6">
        <w:t xml:space="preserve">УФНС России по Новгородской области предупреждает о росте мошеннических схем, предлагающих получить КЭП без личного присутствия заявителя, онлайн или курьерской доставкой. Подобные рекламные заявления в сети Интернет не соответствуют нормам </w:t>
      </w:r>
      <w:hyperlink r:id="rId11" w:tgtFrame="blank" w:history="1">
        <w:r w:rsidRPr="00FF6D99">
          <w:rPr>
            <w:rStyle w:val="a3"/>
            <w:color w:val="auto"/>
            <w:u w:val="none"/>
          </w:rPr>
          <w:t>Федерального закона от 06.04.2011 № 63-ФЗ</w:t>
        </w:r>
      </w:hyperlink>
      <w:r w:rsidRPr="00FF6D99">
        <w:t> «О</w:t>
      </w:r>
      <w:r w:rsidRPr="002222D6">
        <w:t xml:space="preserve">б электронной подписи». Управление призывает налогоплательщиков быть бдительными и доверять только официальной информации, публикуемой </w:t>
      </w:r>
      <w:r w:rsidRPr="00FF6D99">
        <w:t>на </w:t>
      </w:r>
      <w:hyperlink r:id="rId12" w:tgtFrame="blank" w:history="1">
        <w:r w:rsidRPr="00FF6D99">
          <w:rPr>
            <w:rStyle w:val="a3"/>
            <w:color w:val="auto"/>
            <w:u w:val="none"/>
          </w:rPr>
          <w:t>официальном сайте Федеральной налоговой службы</w:t>
        </w:r>
      </w:hyperlink>
      <w:r w:rsidRPr="002222D6">
        <w:t>.</w:t>
      </w:r>
    </w:p>
    <w:p w:rsidR="00343961" w:rsidRPr="002222D6" w:rsidRDefault="00343961" w:rsidP="00FF6D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2D6">
        <w:rPr>
          <w:rFonts w:ascii="Times New Roman" w:hAnsi="Times New Roman"/>
          <w:sz w:val="24"/>
          <w:szCs w:val="24"/>
        </w:rPr>
        <w:t>Для удобства налогоплательщиков выдача КЭП осуществляется по принципу экстерриториальности. Обратиться за получением КЭП можно в любой налоговый орган, оказывающий услуги по выдаче сертификата.</w:t>
      </w:r>
    </w:p>
    <w:p w:rsidR="00343961" w:rsidRPr="002222D6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D6">
        <w:rPr>
          <w:rFonts w:ascii="Times New Roman" w:hAnsi="Times New Roman" w:cs="Times New Roman"/>
          <w:sz w:val="24"/>
          <w:szCs w:val="24"/>
        </w:rPr>
        <w:t>На территории Новгородской области КЭП можно получить в обособленных подразделениях УФНС России по Новгородской области (являются точками выдачи УЦ ФНС России) по следующим адресам:</w:t>
      </w:r>
    </w:p>
    <w:p w:rsidR="00343961" w:rsidRPr="002222D6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D6">
        <w:rPr>
          <w:rFonts w:ascii="Times New Roman" w:hAnsi="Times New Roman" w:cs="Times New Roman"/>
          <w:sz w:val="24"/>
          <w:szCs w:val="24"/>
        </w:rPr>
        <w:t>- г. Боровичи, ул. Гоголя, д. 113;</w:t>
      </w:r>
    </w:p>
    <w:p w:rsidR="00343961" w:rsidRPr="002222D6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D6">
        <w:rPr>
          <w:rFonts w:ascii="Times New Roman" w:hAnsi="Times New Roman" w:cs="Times New Roman"/>
          <w:sz w:val="24"/>
          <w:szCs w:val="24"/>
        </w:rPr>
        <w:t>- г. Старая Русса, Соборная площадь, д. 1;</w:t>
      </w:r>
    </w:p>
    <w:p w:rsidR="00343961" w:rsidRPr="002222D6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D6">
        <w:rPr>
          <w:rFonts w:ascii="Times New Roman" w:hAnsi="Times New Roman" w:cs="Times New Roman"/>
          <w:sz w:val="24"/>
          <w:szCs w:val="24"/>
        </w:rPr>
        <w:t xml:space="preserve">- г. Малая Вишера, ул. 3 КДО,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2222D6">
        <w:rPr>
          <w:rFonts w:ascii="Times New Roman" w:hAnsi="Times New Roman" w:cs="Times New Roman"/>
          <w:sz w:val="24"/>
          <w:szCs w:val="24"/>
        </w:rPr>
        <w:t>3;</w:t>
      </w:r>
    </w:p>
    <w:p w:rsidR="00343961" w:rsidRPr="002222D6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2D6">
        <w:rPr>
          <w:rFonts w:ascii="Times New Roman" w:hAnsi="Times New Roman" w:cs="Times New Roman"/>
          <w:sz w:val="24"/>
          <w:szCs w:val="24"/>
        </w:rPr>
        <w:t>- г. Великий Новгород, ул. Б</w:t>
      </w:r>
      <w:r>
        <w:rPr>
          <w:rFonts w:ascii="Times New Roman" w:hAnsi="Times New Roman" w:cs="Times New Roman"/>
          <w:sz w:val="24"/>
          <w:szCs w:val="24"/>
        </w:rPr>
        <w:t>ольшая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22D6">
        <w:rPr>
          <w:rFonts w:ascii="Times New Roman" w:hAnsi="Times New Roman" w:cs="Times New Roman"/>
          <w:sz w:val="24"/>
          <w:szCs w:val="24"/>
        </w:rPr>
        <w:t xml:space="preserve">анкт - Петербургская,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2222D6">
        <w:rPr>
          <w:rFonts w:ascii="Times New Roman" w:hAnsi="Times New Roman" w:cs="Times New Roman"/>
          <w:sz w:val="24"/>
          <w:szCs w:val="24"/>
        </w:rPr>
        <w:t>62.</w:t>
      </w:r>
    </w:p>
    <w:p w:rsidR="00A404E0" w:rsidRDefault="00A404E0" w:rsidP="00FF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04E0" w:rsidRDefault="00A404E0" w:rsidP="00FF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3961" w:rsidRDefault="00343961" w:rsidP="00FF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С 2025 года вводятся прогрессивные ставки при налогообложении НДФЛ</w:t>
      </w:r>
    </w:p>
    <w:p w:rsidR="00343961" w:rsidRPr="00992282" w:rsidRDefault="00343961" w:rsidP="003439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Начиная с 2025 года, вводятся новые дифференцированные налоговые ставки НДФЛ (Федеральный закон от 12.07.2024 № 176-ФЗ). Их размер зависит от величины и вида полученного налогоплательщиком дохода. 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b/>
          <w:sz w:val="24"/>
          <w:szCs w:val="24"/>
        </w:rPr>
        <w:t>По основным доходам резидентов</w:t>
      </w:r>
      <w:r w:rsidRPr="00FF6D99">
        <w:rPr>
          <w:rFonts w:ascii="Times New Roman" w:hAnsi="Times New Roman" w:cs="Times New Roman"/>
          <w:sz w:val="24"/>
          <w:szCs w:val="24"/>
        </w:rPr>
        <w:t xml:space="preserve"> установлена </w:t>
      </w:r>
      <w:hyperlink r:id="rId13" w:anchor="P21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новая прогрессивная шкала</w:t>
        </w:r>
      </w:hyperlink>
      <w:r w:rsidRPr="00FF6D99">
        <w:rPr>
          <w:rFonts w:ascii="Times New Roman" w:hAnsi="Times New Roman" w:cs="Times New Roman"/>
          <w:sz w:val="24"/>
          <w:szCs w:val="24"/>
        </w:rPr>
        <w:t xml:space="preserve"> – пять ставок вместо применяемых в настоящее время двух: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 - 13% - для доходов до 2,4 </w:t>
      </w:r>
      <w:proofErr w:type="gramStart"/>
      <w:r w:rsidRPr="00FF6D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F6D99">
        <w:rPr>
          <w:rFonts w:ascii="Times New Roman" w:hAnsi="Times New Roman" w:cs="Times New Roman"/>
          <w:sz w:val="24"/>
          <w:szCs w:val="24"/>
        </w:rPr>
        <w:t xml:space="preserve"> руб. в год;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- 15% - от 2,4 </w:t>
      </w:r>
      <w:proofErr w:type="gramStart"/>
      <w:r w:rsidRPr="00FF6D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F6D99">
        <w:rPr>
          <w:rFonts w:ascii="Times New Roman" w:hAnsi="Times New Roman" w:cs="Times New Roman"/>
          <w:sz w:val="24"/>
          <w:szCs w:val="24"/>
        </w:rPr>
        <w:t xml:space="preserve"> до 5 млн руб. в год;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- 18% - от 5 </w:t>
      </w:r>
      <w:proofErr w:type="gramStart"/>
      <w:r w:rsidRPr="00FF6D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F6D99">
        <w:rPr>
          <w:rFonts w:ascii="Times New Roman" w:hAnsi="Times New Roman" w:cs="Times New Roman"/>
          <w:sz w:val="24"/>
          <w:szCs w:val="24"/>
        </w:rPr>
        <w:t xml:space="preserve"> до 20 млн руб. в год;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- 20% - от 20 </w:t>
      </w:r>
      <w:proofErr w:type="gramStart"/>
      <w:r w:rsidRPr="00FF6D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F6D99">
        <w:rPr>
          <w:rFonts w:ascii="Times New Roman" w:hAnsi="Times New Roman" w:cs="Times New Roman"/>
          <w:sz w:val="24"/>
          <w:szCs w:val="24"/>
        </w:rPr>
        <w:t xml:space="preserve"> до 50 млн руб. в год;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- 22% - свыше 50 </w:t>
      </w:r>
      <w:proofErr w:type="gramStart"/>
      <w:r w:rsidRPr="00FF6D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F6D99">
        <w:rPr>
          <w:rFonts w:ascii="Times New Roman" w:hAnsi="Times New Roman" w:cs="Times New Roman"/>
          <w:sz w:val="24"/>
          <w:szCs w:val="24"/>
        </w:rPr>
        <w:t xml:space="preserve"> руб. в год.</w:t>
      </w:r>
    </w:p>
    <w:p w:rsidR="0075710E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Повышенные ставки будут применять не ко всему доходу, а лишь к </w:t>
      </w:r>
      <w:hyperlink r:id="rId14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сумме превышения</w:t>
        </w:r>
      </w:hyperlink>
      <w:r w:rsidRPr="00FF6D99">
        <w:rPr>
          <w:rFonts w:ascii="Times New Roman" w:hAnsi="Times New Roman" w:cs="Times New Roman"/>
          <w:sz w:val="24"/>
          <w:szCs w:val="24"/>
        </w:rPr>
        <w:t xml:space="preserve"> предельного значения. 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Например, ставка в размере 15% применяется для доходов свыше 2,4 </w:t>
      </w:r>
      <w:proofErr w:type="gramStart"/>
      <w:r w:rsidRPr="00FF6D99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FF6D99">
        <w:rPr>
          <w:rFonts w:ascii="Times New Roman" w:hAnsi="Times New Roman" w:cs="Times New Roman"/>
          <w:sz w:val="24"/>
          <w:szCs w:val="24"/>
        </w:rPr>
        <w:t xml:space="preserve"> руб., но не более 5 млн рублей. При этом налог с 2,4 млн руб. исчисляется по ставке 13% и составляет фиксированную величину - 312 тыс. рублей. Доход, превышающий 2,4 млн. руб., будет рассчитываться по ставке 15% и т.д.</w:t>
      </w:r>
    </w:p>
    <w:p w:rsidR="00343961" w:rsidRPr="00FF6D99" w:rsidRDefault="00343961" w:rsidP="00FF6D9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Новая прогрессивная шкала НДФЛ применяется к следующим доходам, выплачиваемым налогоплательщикам - резидентам:</w:t>
      </w:r>
    </w:p>
    <w:p w:rsidR="00343961" w:rsidRPr="00FF6D99" w:rsidRDefault="00343961" w:rsidP="0075710E">
      <w:pPr>
        <w:pStyle w:val="ConsPlusNormal"/>
        <w:numPr>
          <w:ilvl w:val="0"/>
          <w:numId w:val="16"/>
        </w:numPr>
        <w:tabs>
          <w:tab w:val="clear" w:pos="540"/>
          <w:tab w:val="num" w:pos="0"/>
          <w:tab w:val="left" w:pos="284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к зарплате, другим доходам, формирующим </w:t>
      </w:r>
      <w:hyperlink r:id="rId15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основную налоговую базу</w:t>
        </w:r>
      </w:hyperlink>
      <w:r w:rsidRPr="00FF6D99">
        <w:rPr>
          <w:rFonts w:ascii="Times New Roman" w:hAnsi="Times New Roman" w:cs="Times New Roman"/>
          <w:sz w:val="24"/>
          <w:szCs w:val="24"/>
        </w:rPr>
        <w:t>.</w:t>
      </w:r>
    </w:p>
    <w:p w:rsidR="00343961" w:rsidRPr="00FF6D99" w:rsidRDefault="00343961" w:rsidP="0075710E">
      <w:pPr>
        <w:pStyle w:val="ConsPlusNormal"/>
        <w:tabs>
          <w:tab w:val="num" w:pos="0"/>
          <w:tab w:val="left" w:pos="284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Эту налоговую базу, по-прежнему, можно уменьшить на вычеты: стандартные, социальные, инвестиционные, имущественные налоговые вычеты, вычеты на долгосрочные сбережения граждан. </w:t>
      </w:r>
    </w:p>
    <w:p w:rsidR="00343961" w:rsidRPr="00FF6D99" w:rsidRDefault="00343961" w:rsidP="0075710E">
      <w:pPr>
        <w:pStyle w:val="ConsPlusNormal"/>
        <w:numPr>
          <w:ilvl w:val="0"/>
          <w:numId w:val="16"/>
        </w:numPr>
        <w:tabs>
          <w:tab w:val="clear" w:pos="540"/>
          <w:tab w:val="num" w:pos="0"/>
          <w:tab w:val="left" w:pos="284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к выигрышам участников азартных игр и лотерей;</w:t>
      </w:r>
    </w:p>
    <w:p w:rsidR="00343961" w:rsidRPr="00FF6D99" w:rsidRDefault="00343961" w:rsidP="0075710E">
      <w:pPr>
        <w:pStyle w:val="ConsPlusNormal"/>
        <w:numPr>
          <w:ilvl w:val="0"/>
          <w:numId w:val="16"/>
        </w:numPr>
        <w:tabs>
          <w:tab w:val="clear" w:pos="540"/>
          <w:tab w:val="num" w:pos="0"/>
          <w:tab w:val="left" w:pos="284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к доходам участников инвестиционного товарищества;</w:t>
      </w:r>
    </w:p>
    <w:p w:rsidR="00343961" w:rsidRPr="00FF6D99" w:rsidRDefault="00343961" w:rsidP="0075710E">
      <w:pPr>
        <w:pStyle w:val="ConsPlusNormal"/>
        <w:numPr>
          <w:ilvl w:val="0"/>
          <w:numId w:val="16"/>
        </w:numPr>
        <w:tabs>
          <w:tab w:val="clear" w:pos="540"/>
          <w:tab w:val="num" w:pos="0"/>
          <w:tab w:val="left" w:pos="284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к доходам в виде прибыли КИК, в том числе фиксированной.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Помимо </w:t>
      </w:r>
      <w:hyperlink r:id="rId16" w:anchor="P21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прогрессивной шкалы</w:t>
        </w:r>
      </w:hyperlink>
      <w:r w:rsidRPr="00FF6D99">
        <w:rPr>
          <w:rFonts w:ascii="Times New Roman" w:hAnsi="Times New Roman" w:cs="Times New Roman"/>
          <w:sz w:val="24"/>
          <w:szCs w:val="24"/>
        </w:rPr>
        <w:t>, с 1 января 2025 года действуют и другие дифференцированные ставки НДФЛ.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0"/>
      <w:bookmarkEnd w:id="1"/>
      <w:r w:rsidRPr="0075710E">
        <w:rPr>
          <w:rFonts w:ascii="Times New Roman" w:hAnsi="Times New Roman" w:cs="Times New Roman"/>
          <w:b/>
          <w:sz w:val="24"/>
          <w:szCs w:val="24"/>
        </w:rPr>
        <w:t xml:space="preserve">Ставка 13% в пределах 2,4 </w:t>
      </w:r>
      <w:proofErr w:type="gramStart"/>
      <w:r w:rsidRPr="0075710E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75710E">
        <w:rPr>
          <w:rFonts w:ascii="Times New Roman" w:hAnsi="Times New Roman" w:cs="Times New Roman"/>
          <w:b/>
          <w:sz w:val="24"/>
          <w:szCs w:val="24"/>
        </w:rPr>
        <w:t xml:space="preserve"> руб. и 15% от суммы</w:t>
      </w:r>
      <w:r w:rsidRPr="00FF6D99">
        <w:rPr>
          <w:rFonts w:ascii="Times New Roman" w:hAnsi="Times New Roman" w:cs="Times New Roman"/>
          <w:sz w:val="24"/>
          <w:szCs w:val="24"/>
        </w:rPr>
        <w:t xml:space="preserve">, </w:t>
      </w:r>
      <w:r w:rsidRPr="0075710E">
        <w:rPr>
          <w:rFonts w:ascii="Times New Roman" w:hAnsi="Times New Roman" w:cs="Times New Roman"/>
          <w:b/>
          <w:sz w:val="24"/>
          <w:szCs w:val="24"/>
        </w:rPr>
        <w:t>превышающей это значение,</w:t>
      </w:r>
      <w:r w:rsidRPr="00FF6D99">
        <w:rPr>
          <w:rFonts w:ascii="Times New Roman" w:hAnsi="Times New Roman" w:cs="Times New Roman"/>
          <w:sz w:val="24"/>
          <w:szCs w:val="24"/>
        </w:rPr>
        <w:t xml:space="preserve"> применяется, в частности: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к доходам от продажи имущества (доли в нем), а также доходам в виде стоимости имущества, полученного в подарок. Исключение - ценные бумаги;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доходам от долевого участия, в том числе дивидендам;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доходам от операций с ценными бумагами и производными финансовыми инструментами;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доходам от реализации долей участия в российских организациях;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доходам от операций займа ценными бумагами;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страховым выплатам по договорам страхования и выплатам по пенсионному обеспечению;</w:t>
      </w:r>
    </w:p>
    <w:p w:rsidR="00343961" w:rsidRPr="00FF6D99" w:rsidRDefault="00343961" w:rsidP="0075710E">
      <w:pPr>
        <w:pStyle w:val="ConsPlusNormal"/>
        <w:numPr>
          <w:ilvl w:val="0"/>
          <w:numId w:val="17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>процентам по вкладам (остаткам на счетах) в банках на территории РФ и др.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По некоторым из этих доходов при расчете налоговой базы можно применить определенные вычеты. Например, </w:t>
      </w:r>
      <w:hyperlink r:id="rId17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имущественный вычет</w:t>
        </w:r>
      </w:hyperlink>
      <w:r w:rsidRPr="00FF6D99">
        <w:rPr>
          <w:rFonts w:ascii="Times New Roman" w:hAnsi="Times New Roman" w:cs="Times New Roman"/>
          <w:sz w:val="24"/>
          <w:szCs w:val="24"/>
        </w:rPr>
        <w:t xml:space="preserve"> применяется в отношении дохода от продажи имущества, доли в нем.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10E">
        <w:rPr>
          <w:rFonts w:ascii="Times New Roman" w:hAnsi="Times New Roman" w:cs="Times New Roman"/>
          <w:b/>
          <w:sz w:val="24"/>
          <w:szCs w:val="24"/>
        </w:rPr>
        <w:t xml:space="preserve">Ставка 13% в пределах 5 </w:t>
      </w:r>
      <w:proofErr w:type="gramStart"/>
      <w:r w:rsidRPr="0075710E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75710E">
        <w:rPr>
          <w:rFonts w:ascii="Times New Roman" w:hAnsi="Times New Roman" w:cs="Times New Roman"/>
          <w:b/>
          <w:sz w:val="24"/>
          <w:szCs w:val="24"/>
        </w:rPr>
        <w:t xml:space="preserve"> руб. и 15% от суммы, превышающей это значение,</w:t>
      </w:r>
      <w:r w:rsidRPr="00FF6D9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применяется</w:t>
        </w:r>
      </w:hyperlink>
      <w:r w:rsidRPr="00FF6D99">
        <w:rPr>
          <w:rFonts w:ascii="Times New Roman" w:hAnsi="Times New Roman" w:cs="Times New Roman"/>
          <w:sz w:val="24"/>
          <w:szCs w:val="24"/>
        </w:rPr>
        <w:t>:</w:t>
      </w:r>
    </w:p>
    <w:p w:rsidR="00343961" w:rsidRPr="00FF6D99" w:rsidRDefault="00343961" w:rsidP="0075710E">
      <w:pPr>
        <w:pStyle w:val="ConsPlusNormal"/>
        <w:numPr>
          <w:ilvl w:val="0"/>
          <w:numId w:val="18"/>
        </w:numPr>
        <w:tabs>
          <w:tab w:val="clear" w:pos="540"/>
          <w:tab w:val="num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к доходам, полученным </w:t>
      </w:r>
      <w:hyperlink r:id="rId19" w:history="1">
        <w:r w:rsidRPr="00FF6D99">
          <w:rPr>
            <w:rFonts w:ascii="Times New Roman" w:hAnsi="Times New Roman" w:cs="Times New Roman"/>
            <w:sz w:val="24"/>
            <w:szCs w:val="24"/>
          </w:rPr>
          <w:t xml:space="preserve">отдельными физическими лицами </w:t>
        </w:r>
      </w:hyperlink>
      <w:r w:rsidRPr="00FF6D99">
        <w:rPr>
          <w:rFonts w:ascii="Times New Roman" w:hAnsi="Times New Roman" w:cs="Times New Roman"/>
          <w:sz w:val="24"/>
          <w:szCs w:val="24"/>
        </w:rPr>
        <w:t>(мобилизованными, контрактниками, добровольцами и т.п.) непосредственно в связи с их участием в СВО (выполнением задач в период ее проведения);</w:t>
      </w:r>
    </w:p>
    <w:p w:rsidR="00343961" w:rsidRPr="00FF6D99" w:rsidRDefault="00343961" w:rsidP="0075710E">
      <w:pPr>
        <w:pStyle w:val="ConsPlusNormal"/>
        <w:numPr>
          <w:ilvl w:val="0"/>
          <w:numId w:val="18"/>
        </w:numPr>
        <w:tabs>
          <w:tab w:val="clear" w:pos="540"/>
          <w:tab w:val="num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доходам в виде оплаты труда (денежного довольствия, содержания) лиц, работающих в районах Крайнего Севера (приравненных к ним), в </w:t>
      </w:r>
      <w:hyperlink r:id="rId20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</w:t>
        </w:r>
      </w:hyperlink>
      <w:r w:rsidRPr="00FF6D99">
        <w:rPr>
          <w:rFonts w:ascii="Times New Roman" w:hAnsi="Times New Roman" w:cs="Times New Roman"/>
          <w:sz w:val="24"/>
          <w:szCs w:val="24"/>
        </w:rPr>
        <w:t>, которая относится к повышающим районным коэффициентам и процентным надбавкам.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D99">
        <w:rPr>
          <w:rFonts w:ascii="Times New Roman" w:hAnsi="Times New Roman" w:cs="Times New Roman"/>
          <w:sz w:val="24"/>
          <w:szCs w:val="24"/>
        </w:rPr>
        <w:t xml:space="preserve">Доходы можно уменьшить на вычеты, предусмотренные </w:t>
      </w:r>
      <w:hyperlink r:id="rId21" w:history="1">
        <w:r w:rsidRPr="00FF6D99">
          <w:rPr>
            <w:rFonts w:ascii="Times New Roman" w:hAnsi="Times New Roman" w:cs="Times New Roman"/>
            <w:sz w:val="24"/>
            <w:szCs w:val="24"/>
          </w:rPr>
          <w:t xml:space="preserve"> статьями </w:t>
        </w:r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218</w:t>
        </w:r>
      </w:hyperlink>
      <w:r w:rsidRPr="00FF6D9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220</w:t>
        </w:r>
      </w:hyperlink>
      <w:r w:rsidRPr="00FF6D99">
        <w:rPr>
          <w:rFonts w:ascii="Times New Roman" w:hAnsi="Times New Roman" w:cs="Times New Roman"/>
          <w:sz w:val="24"/>
          <w:szCs w:val="24"/>
        </w:rPr>
        <w:t xml:space="preserve"> Налогового кодекса РФ, если они не применялись при исчислении других налоговых баз.</w:t>
      </w:r>
    </w:p>
    <w:p w:rsidR="00343961" w:rsidRPr="0075710E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10E">
        <w:rPr>
          <w:rFonts w:ascii="Times New Roman" w:hAnsi="Times New Roman" w:cs="Times New Roman"/>
          <w:b/>
          <w:sz w:val="24"/>
          <w:szCs w:val="24"/>
        </w:rPr>
        <w:t>По доходам, которые облагаются по ставкам 9%, 30% и 35%, ничего не изменилось.</w:t>
      </w:r>
    </w:p>
    <w:p w:rsidR="00343961" w:rsidRPr="00FF6D99" w:rsidRDefault="00343961" w:rsidP="00FF6D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7"/>
      <w:bookmarkEnd w:id="2"/>
      <w:r w:rsidRPr="0075710E">
        <w:rPr>
          <w:rFonts w:ascii="Times New Roman" w:hAnsi="Times New Roman" w:cs="Times New Roman"/>
          <w:b/>
          <w:sz w:val="24"/>
          <w:szCs w:val="24"/>
        </w:rPr>
        <w:lastRenderedPageBreak/>
        <w:t>Доходы нерезидентов,</w:t>
      </w:r>
      <w:r w:rsidRPr="00FF6D99">
        <w:rPr>
          <w:rFonts w:ascii="Times New Roman" w:hAnsi="Times New Roman" w:cs="Times New Roman"/>
          <w:sz w:val="24"/>
          <w:szCs w:val="24"/>
        </w:rPr>
        <w:t xml:space="preserve"> полученные за трудовую деятельность, будут облагаться по такой же прогрессивной </w:t>
      </w:r>
      <w:hyperlink r:id="rId23" w:anchor="P21" w:history="1">
        <w:r w:rsidRPr="00FF6D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шкале</w:t>
        </w:r>
      </w:hyperlink>
      <w:r w:rsidRPr="00FF6D99">
        <w:rPr>
          <w:rFonts w:ascii="Times New Roman" w:hAnsi="Times New Roman" w:cs="Times New Roman"/>
          <w:sz w:val="24"/>
          <w:szCs w:val="24"/>
        </w:rPr>
        <w:t>, что и основные доходы резидентов. По доходам нерезидентов в виде процентов по вкладам (остаткам на счетах) в банках, находящихся в РФ, размер ставки составляет 15% независимо от величины таких доходов. По другим доходам нерезидентов размеры ставок не изменились.</w:t>
      </w:r>
    </w:p>
    <w:p w:rsidR="00343961" w:rsidRPr="00FF6D99" w:rsidRDefault="00343961" w:rsidP="00FF6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961" w:rsidRPr="00992282" w:rsidRDefault="00343961" w:rsidP="0034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282">
        <w:rPr>
          <w:rFonts w:ascii="Times New Roman" w:hAnsi="Times New Roman"/>
          <w:b/>
          <w:sz w:val="24"/>
          <w:szCs w:val="24"/>
        </w:rPr>
        <w:t>Расширен круг лиц для получения стандартных вычетов и увеличен размер вычетов на детей</w:t>
      </w:r>
    </w:p>
    <w:p w:rsidR="00343961" w:rsidRDefault="00343961" w:rsidP="00343961">
      <w:pPr>
        <w:spacing w:after="1" w:line="220" w:lineRule="auto"/>
        <w:jc w:val="both"/>
        <w:rPr>
          <w:rFonts w:ascii="Times New Roman" w:hAnsi="Times New Roman"/>
          <w:sz w:val="24"/>
          <w:szCs w:val="24"/>
        </w:rPr>
      </w:pPr>
    </w:p>
    <w:p w:rsidR="00343961" w:rsidRPr="000640D2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0D2">
        <w:rPr>
          <w:rFonts w:ascii="Times New Roman" w:hAnsi="Times New Roman"/>
          <w:sz w:val="24"/>
          <w:szCs w:val="24"/>
        </w:rPr>
        <w:t>С 2025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0640D2">
        <w:rPr>
          <w:rFonts w:ascii="Times New Roman" w:hAnsi="Times New Roman"/>
          <w:sz w:val="24"/>
          <w:szCs w:val="24"/>
        </w:rPr>
        <w:t>расширяется круг лиц - налоговых резидентов РФ, которые могут получить стандартный вычет по НДФЛ по определенным видам дохода (</w:t>
      </w:r>
      <w:r>
        <w:rPr>
          <w:rFonts w:ascii="Times New Roman" w:hAnsi="Times New Roman"/>
          <w:sz w:val="24"/>
          <w:szCs w:val="24"/>
        </w:rPr>
        <w:t xml:space="preserve">п. 28 ст. 2 Федерального </w:t>
      </w:r>
      <w:r w:rsidRPr="000640D2">
        <w:rPr>
          <w:rFonts w:ascii="Times New Roman" w:hAnsi="Times New Roman"/>
          <w:sz w:val="24"/>
          <w:szCs w:val="24"/>
        </w:rPr>
        <w:t xml:space="preserve">Закона от 12.07.2024 </w:t>
      </w:r>
      <w:r>
        <w:rPr>
          <w:rFonts w:ascii="Times New Roman" w:hAnsi="Times New Roman"/>
          <w:sz w:val="24"/>
          <w:szCs w:val="24"/>
        </w:rPr>
        <w:t>№</w:t>
      </w:r>
      <w:r w:rsidRPr="000640D2">
        <w:rPr>
          <w:rFonts w:ascii="Times New Roman" w:hAnsi="Times New Roman"/>
          <w:sz w:val="24"/>
          <w:szCs w:val="24"/>
        </w:rPr>
        <w:t xml:space="preserve"> 176-ФЗ).</w:t>
      </w:r>
    </w:p>
    <w:p w:rsidR="00343961" w:rsidRDefault="00343961" w:rsidP="007571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40D2">
        <w:rPr>
          <w:rFonts w:ascii="Times New Roman" w:hAnsi="Times New Roman" w:cs="Times New Roman"/>
          <w:sz w:val="24"/>
          <w:szCs w:val="24"/>
        </w:rPr>
        <w:t xml:space="preserve">ычет </w:t>
      </w:r>
      <w:r>
        <w:rPr>
          <w:rFonts w:ascii="Times New Roman" w:hAnsi="Times New Roman"/>
          <w:sz w:val="24"/>
          <w:szCs w:val="24"/>
        </w:rPr>
        <w:t xml:space="preserve">на себя </w:t>
      </w:r>
      <w:r w:rsidRPr="000640D2">
        <w:rPr>
          <w:rFonts w:ascii="Times New Roman" w:hAnsi="Times New Roman" w:cs="Times New Roman"/>
          <w:sz w:val="24"/>
          <w:szCs w:val="24"/>
        </w:rPr>
        <w:t>в размере 18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0640D2">
        <w:rPr>
          <w:rFonts w:ascii="Times New Roman" w:hAnsi="Times New Roman" w:cs="Times New Roman"/>
          <w:sz w:val="24"/>
          <w:szCs w:val="24"/>
        </w:rPr>
        <w:t xml:space="preserve">руб. за налоговый период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40D2">
        <w:rPr>
          <w:rFonts w:ascii="Times New Roman" w:hAnsi="Times New Roman" w:cs="Times New Roman"/>
          <w:sz w:val="24"/>
          <w:szCs w:val="24"/>
        </w:rPr>
        <w:t>могут получить лица, которые выполнили нормативы испытаний (тестов) Всероссийского физкультурно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D2">
        <w:rPr>
          <w:rFonts w:ascii="Times New Roman" w:hAnsi="Times New Roman" w:cs="Times New Roman"/>
          <w:sz w:val="24"/>
          <w:szCs w:val="24"/>
        </w:rPr>
        <w:t xml:space="preserve">спортивного комплекса </w:t>
      </w:r>
      <w:r>
        <w:rPr>
          <w:rFonts w:ascii="Times New Roman" w:hAnsi="Times New Roman"/>
          <w:sz w:val="24"/>
          <w:szCs w:val="24"/>
        </w:rPr>
        <w:t>«</w:t>
      </w:r>
      <w:r w:rsidRPr="000640D2">
        <w:rPr>
          <w:rFonts w:ascii="Times New Roman" w:hAnsi="Times New Roman" w:cs="Times New Roman"/>
          <w:sz w:val="24"/>
          <w:szCs w:val="24"/>
        </w:rPr>
        <w:t>Готов к труду и обороне</w:t>
      </w:r>
      <w:r>
        <w:rPr>
          <w:rFonts w:ascii="Times New Roman" w:hAnsi="Times New Roman"/>
          <w:sz w:val="24"/>
          <w:szCs w:val="24"/>
        </w:rPr>
        <w:t>» (ГТО)</w:t>
      </w:r>
      <w:r w:rsidRPr="000640D2">
        <w:rPr>
          <w:rFonts w:ascii="Times New Roman" w:hAnsi="Times New Roman" w:cs="Times New Roman"/>
          <w:sz w:val="24"/>
          <w:szCs w:val="24"/>
        </w:rPr>
        <w:t xml:space="preserve">, соответствующие их возрастной группе, и награждены знаком отличия, а также лица, которые подтвердили </w:t>
      </w:r>
      <w:r>
        <w:rPr>
          <w:rFonts w:ascii="Times New Roman" w:hAnsi="Times New Roman" w:cs="Times New Roman"/>
          <w:sz w:val="24"/>
          <w:szCs w:val="24"/>
        </w:rPr>
        <w:t>получение знака</w:t>
      </w:r>
      <w:r w:rsidRPr="000640D2">
        <w:rPr>
          <w:rFonts w:ascii="Times New Roman" w:hAnsi="Times New Roman" w:cs="Times New Roman"/>
          <w:sz w:val="24"/>
          <w:szCs w:val="24"/>
        </w:rPr>
        <w:t>.</w:t>
      </w:r>
      <w:r w:rsidRPr="00B14D68">
        <w:rPr>
          <w:rFonts w:ascii="Times New Roman" w:hAnsi="Times New Roman" w:cs="Times New Roman"/>
          <w:sz w:val="24"/>
          <w:szCs w:val="24"/>
        </w:rPr>
        <w:t xml:space="preserve"> </w:t>
      </w:r>
      <w:r w:rsidRPr="000640D2">
        <w:rPr>
          <w:rFonts w:ascii="Times New Roman" w:hAnsi="Times New Roman" w:cs="Times New Roman"/>
          <w:sz w:val="24"/>
          <w:szCs w:val="24"/>
        </w:rPr>
        <w:t>Возрастная ступень и уровень сложности (золотой, серебряный или бронзовый знак отличия) значения не имеет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961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40D2">
        <w:rPr>
          <w:rFonts w:ascii="Times New Roman" w:hAnsi="Times New Roman"/>
          <w:sz w:val="24"/>
          <w:szCs w:val="24"/>
        </w:rPr>
        <w:t xml:space="preserve">Вычет за сдачу ГТО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0640D2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едоставляться физическому лицу з</w:t>
      </w:r>
      <w:r w:rsidRPr="000640D2">
        <w:rPr>
          <w:rFonts w:ascii="Times New Roman" w:hAnsi="Times New Roman"/>
          <w:sz w:val="24"/>
          <w:szCs w:val="24"/>
        </w:rPr>
        <w:t xml:space="preserve">а налоговый период, в котором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0640D2">
        <w:rPr>
          <w:rFonts w:ascii="Times New Roman" w:hAnsi="Times New Roman"/>
          <w:sz w:val="24"/>
          <w:szCs w:val="24"/>
        </w:rPr>
        <w:t>наградили соответствующим знаком отличия</w:t>
      </w:r>
      <w:r>
        <w:rPr>
          <w:rFonts w:ascii="Times New Roman" w:hAnsi="Times New Roman"/>
          <w:sz w:val="24"/>
          <w:szCs w:val="24"/>
        </w:rPr>
        <w:t xml:space="preserve">, либо </w:t>
      </w:r>
      <w:r w:rsidRPr="000640D2">
        <w:rPr>
          <w:rFonts w:ascii="Times New Roman" w:hAnsi="Times New Roman"/>
          <w:sz w:val="24"/>
          <w:szCs w:val="24"/>
        </w:rPr>
        <w:t xml:space="preserve">в котором </w:t>
      </w:r>
      <w:r>
        <w:rPr>
          <w:rFonts w:ascii="Times New Roman" w:hAnsi="Times New Roman"/>
          <w:sz w:val="24"/>
          <w:szCs w:val="24"/>
        </w:rPr>
        <w:t>гражданин</w:t>
      </w:r>
      <w:r w:rsidRPr="000640D2">
        <w:rPr>
          <w:rFonts w:ascii="Times New Roman" w:hAnsi="Times New Roman"/>
          <w:sz w:val="24"/>
          <w:szCs w:val="24"/>
        </w:rPr>
        <w:t xml:space="preserve"> подтвердил</w:t>
      </w:r>
      <w:r>
        <w:rPr>
          <w:rFonts w:ascii="Times New Roman" w:hAnsi="Times New Roman"/>
          <w:sz w:val="24"/>
          <w:szCs w:val="24"/>
        </w:rPr>
        <w:t xml:space="preserve"> полученный знак ГТО</w:t>
      </w:r>
      <w:r w:rsidRPr="000640D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Необходимое у</w:t>
      </w:r>
      <w:r w:rsidRPr="000640D2">
        <w:rPr>
          <w:rFonts w:ascii="Times New Roman" w:hAnsi="Times New Roman"/>
          <w:sz w:val="24"/>
          <w:szCs w:val="24"/>
        </w:rPr>
        <w:t>словие получения</w:t>
      </w:r>
      <w:r>
        <w:rPr>
          <w:rFonts w:ascii="Times New Roman" w:hAnsi="Times New Roman"/>
          <w:sz w:val="24"/>
          <w:szCs w:val="24"/>
        </w:rPr>
        <w:t xml:space="preserve"> вычета</w:t>
      </w:r>
      <w:r w:rsidRPr="000640D2">
        <w:rPr>
          <w:rFonts w:ascii="Times New Roman" w:hAnsi="Times New Roman"/>
          <w:sz w:val="24"/>
          <w:szCs w:val="24"/>
        </w:rPr>
        <w:t xml:space="preserve"> - прохождение диспансеризации. </w:t>
      </w:r>
      <w:r>
        <w:rPr>
          <w:rFonts w:ascii="Times New Roman" w:hAnsi="Times New Roman"/>
          <w:sz w:val="24"/>
          <w:szCs w:val="24"/>
        </w:rPr>
        <w:t>П</w:t>
      </w:r>
      <w:r w:rsidRPr="000640D2">
        <w:rPr>
          <w:rFonts w:ascii="Times New Roman" w:hAnsi="Times New Roman"/>
          <w:sz w:val="24"/>
          <w:szCs w:val="24"/>
        </w:rPr>
        <w:t xml:space="preserve">ройти ее надо в том году, когда </w:t>
      </w:r>
      <w:r>
        <w:rPr>
          <w:rFonts w:ascii="Times New Roman" w:hAnsi="Times New Roman"/>
          <w:sz w:val="24"/>
          <w:szCs w:val="24"/>
        </w:rPr>
        <w:t xml:space="preserve">произошло </w:t>
      </w:r>
      <w:r w:rsidRPr="000640D2">
        <w:rPr>
          <w:rFonts w:ascii="Times New Roman" w:hAnsi="Times New Roman"/>
          <w:sz w:val="24"/>
          <w:szCs w:val="24"/>
        </w:rPr>
        <w:t>награ</w:t>
      </w:r>
      <w:r>
        <w:rPr>
          <w:rFonts w:ascii="Times New Roman" w:hAnsi="Times New Roman"/>
          <w:sz w:val="24"/>
          <w:szCs w:val="24"/>
        </w:rPr>
        <w:t xml:space="preserve">ждение </w:t>
      </w:r>
      <w:r w:rsidRPr="000640D2">
        <w:rPr>
          <w:rFonts w:ascii="Times New Roman" w:hAnsi="Times New Roman"/>
          <w:sz w:val="24"/>
          <w:szCs w:val="24"/>
        </w:rPr>
        <w:t>соответствующим знаком отличия</w:t>
      </w:r>
      <w:r>
        <w:rPr>
          <w:rFonts w:ascii="Times New Roman" w:hAnsi="Times New Roman"/>
          <w:sz w:val="24"/>
          <w:szCs w:val="24"/>
        </w:rPr>
        <w:t xml:space="preserve">, либо </w:t>
      </w:r>
      <w:r w:rsidRPr="000640D2">
        <w:rPr>
          <w:rFonts w:ascii="Times New Roman" w:hAnsi="Times New Roman"/>
          <w:sz w:val="24"/>
          <w:szCs w:val="24"/>
        </w:rPr>
        <w:t>подт</w:t>
      </w:r>
      <w:r>
        <w:rPr>
          <w:rFonts w:ascii="Times New Roman" w:hAnsi="Times New Roman"/>
          <w:sz w:val="24"/>
          <w:szCs w:val="24"/>
        </w:rPr>
        <w:t>верждение полученного знака.</w:t>
      </w:r>
    </w:p>
    <w:p w:rsidR="0034078F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с</w:t>
      </w:r>
      <w:r w:rsidRPr="000640D2">
        <w:rPr>
          <w:rFonts w:ascii="Times New Roman" w:hAnsi="Times New Roman"/>
          <w:sz w:val="24"/>
          <w:szCs w:val="24"/>
        </w:rPr>
        <w:t xml:space="preserve"> 1 января 2025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E2128D">
        <w:rPr>
          <w:rFonts w:ascii="Times New Roman" w:hAnsi="Times New Roman"/>
          <w:sz w:val="24"/>
          <w:szCs w:val="24"/>
        </w:rPr>
        <w:t>увелич</w:t>
      </w:r>
      <w:r>
        <w:rPr>
          <w:rFonts w:ascii="Times New Roman" w:hAnsi="Times New Roman"/>
          <w:sz w:val="24"/>
          <w:szCs w:val="24"/>
        </w:rPr>
        <w:t xml:space="preserve">ивается </w:t>
      </w:r>
      <w:hyperlink r:id="rId24">
        <w:r w:rsidRPr="00E2128D">
          <w:rPr>
            <w:rFonts w:ascii="Times New Roman" w:hAnsi="Times New Roman"/>
            <w:sz w:val="24"/>
            <w:szCs w:val="24"/>
          </w:rPr>
          <w:t>размер стандартных вычетов</w:t>
        </w:r>
      </w:hyperlink>
      <w:r w:rsidRPr="00E2128D">
        <w:rPr>
          <w:rFonts w:ascii="Times New Roman" w:hAnsi="Times New Roman"/>
          <w:b/>
          <w:sz w:val="24"/>
          <w:szCs w:val="24"/>
        </w:rPr>
        <w:t xml:space="preserve"> </w:t>
      </w:r>
      <w:r w:rsidRPr="00E2128D">
        <w:rPr>
          <w:rFonts w:ascii="Times New Roman" w:hAnsi="Times New Roman"/>
          <w:sz w:val="24"/>
          <w:szCs w:val="24"/>
        </w:rPr>
        <w:t>на детей</w:t>
      </w:r>
      <w:r w:rsidRPr="000640D2">
        <w:rPr>
          <w:rFonts w:ascii="Times New Roman" w:hAnsi="Times New Roman"/>
          <w:sz w:val="24"/>
          <w:szCs w:val="24"/>
        </w:rPr>
        <w:t xml:space="preserve"> (на второго, третьего и каждого последующего ребенка) и предельного </w:t>
      </w:r>
      <w:r>
        <w:rPr>
          <w:rFonts w:ascii="Times New Roman" w:hAnsi="Times New Roman"/>
          <w:sz w:val="24"/>
          <w:szCs w:val="24"/>
        </w:rPr>
        <w:t xml:space="preserve">размера </w:t>
      </w:r>
      <w:r w:rsidRPr="000640D2">
        <w:rPr>
          <w:rFonts w:ascii="Times New Roman" w:hAnsi="Times New Roman"/>
          <w:sz w:val="24"/>
          <w:szCs w:val="24"/>
        </w:rPr>
        <w:t xml:space="preserve">дохода для </w:t>
      </w:r>
      <w:r>
        <w:rPr>
          <w:rFonts w:ascii="Times New Roman" w:hAnsi="Times New Roman"/>
          <w:sz w:val="24"/>
          <w:szCs w:val="24"/>
        </w:rPr>
        <w:t xml:space="preserve">получения </w:t>
      </w:r>
      <w:r w:rsidRPr="000640D2">
        <w:rPr>
          <w:rFonts w:ascii="Times New Roman" w:hAnsi="Times New Roman"/>
          <w:sz w:val="24"/>
          <w:szCs w:val="24"/>
        </w:rPr>
        <w:t>вычет</w:t>
      </w:r>
      <w:r>
        <w:rPr>
          <w:rFonts w:ascii="Times New Roman" w:hAnsi="Times New Roman"/>
          <w:sz w:val="24"/>
          <w:szCs w:val="24"/>
        </w:rPr>
        <w:t>а.</w:t>
      </w:r>
      <w:r w:rsidR="0034078F">
        <w:rPr>
          <w:rFonts w:ascii="Times New Roman" w:hAnsi="Times New Roman"/>
          <w:sz w:val="24"/>
          <w:szCs w:val="24"/>
        </w:rPr>
        <w:t xml:space="preserve"> </w:t>
      </w:r>
    </w:p>
    <w:p w:rsidR="00343961" w:rsidRPr="000640D2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128D">
        <w:rPr>
          <w:rFonts w:ascii="Times New Roman" w:hAnsi="Times New Roman"/>
          <w:sz w:val="24"/>
          <w:szCs w:val="24"/>
        </w:rPr>
        <w:t>Стандартный налоговый вычет на детей</w:t>
      </w:r>
      <w:r w:rsidRPr="000640D2">
        <w:rPr>
          <w:rFonts w:ascii="Times New Roman" w:hAnsi="Times New Roman"/>
          <w:sz w:val="24"/>
          <w:szCs w:val="24"/>
        </w:rPr>
        <w:t xml:space="preserve"> предоставляется </w:t>
      </w:r>
      <w:r>
        <w:rPr>
          <w:rFonts w:ascii="Times New Roman" w:hAnsi="Times New Roman"/>
          <w:sz w:val="24"/>
          <w:szCs w:val="24"/>
        </w:rPr>
        <w:t xml:space="preserve">налоговым агентом за каждый месяц налогового периода </w:t>
      </w:r>
      <w:r w:rsidRPr="000640D2">
        <w:rPr>
          <w:rFonts w:ascii="Times New Roman" w:hAnsi="Times New Roman"/>
          <w:sz w:val="24"/>
          <w:szCs w:val="24"/>
        </w:rPr>
        <w:t>родителям, супругу (супруге) родителя, усыновителям, опекунам, попечителям, приемным родителям, супругу (супруге) приемного родителя, на обеспечении которых находится ребенок.</w:t>
      </w:r>
      <w:proofErr w:type="gramEnd"/>
    </w:p>
    <w:p w:rsidR="00343961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вычета:</w:t>
      </w:r>
    </w:p>
    <w:p w:rsidR="00343961" w:rsidRPr="000640D2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0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0640D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0640D2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0640D2">
        <w:rPr>
          <w:rFonts w:ascii="Times New Roman" w:hAnsi="Times New Roman"/>
          <w:sz w:val="24"/>
          <w:szCs w:val="24"/>
        </w:rPr>
        <w:t xml:space="preserve"> - на первого ребенка;</w:t>
      </w:r>
    </w:p>
    <w:p w:rsidR="00343961" w:rsidRPr="000640D2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0D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Pr="000640D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0640D2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0640D2">
        <w:rPr>
          <w:rFonts w:ascii="Times New Roman" w:hAnsi="Times New Roman"/>
          <w:sz w:val="24"/>
          <w:szCs w:val="24"/>
        </w:rPr>
        <w:t xml:space="preserve"> - на второго ребенка</w:t>
      </w:r>
      <w:r>
        <w:rPr>
          <w:rFonts w:ascii="Times New Roman" w:hAnsi="Times New Roman"/>
          <w:sz w:val="24"/>
          <w:szCs w:val="24"/>
        </w:rPr>
        <w:t xml:space="preserve"> (до 01.01.2025 – 1,4 тыс. руб.)</w:t>
      </w:r>
      <w:r w:rsidRPr="000640D2">
        <w:rPr>
          <w:rFonts w:ascii="Times New Roman" w:hAnsi="Times New Roman"/>
          <w:sz w:val="24"/>
          <w:szCs w:val="24"/>
        </w:rPr>
        <w:t>;</w:t>
      </w:r>
    </w:p>
    <w:p w:rsidR="00343961" w:rsidRPr="000640D2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0D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тыс. руб. </w:t>
      </w:r>
      <w:r w:rsidRPr="000640D2">
        <w:rPr>
          <w:rFonts w:ascii="Times New Roman" w:hAnsi="Times New Roman"/>
          <w:sz w:val="24"/>
          <w:szCs w:val="24"/>
        </w:rPr>
        <w:t>- на третьего и каждого последующего ребенка</w:t>
      </w:r>
      <w:r>
        <w:rPr>
          <w:rFonts w:ascii="Times New Roman" w:hAnsi="Times New Roman"/>
          <w:sz w:val="24"/>
          <w:szCs w:val="24"/>
        </w:rPr>
        <w:t xml:space="preserve"> (до 01.01.2025 – 3 тыс. руб.)</w:t>
      </w:r>
      <w:r w:rsidRPr="000640D2">
        <w:rPr>
          <w:rFonts w:ascii="Times New Roman" w:hAnsi="Times New Roman"/>
          <w:sz w:val="24"/>
          <w:szCs w:val="24"/>
        </w:rPr>
        <w:t>;</w:t>
      </w:r>
    </w:p>
    <w:p w:rsidR="00343961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0D2">
        <w:rPr>
          <w:rFonts w:ascii="Times New Roman" w:hAnsi="Times New Roman"/>
          <w:sz w:val="24"/>
          <w:szCs w:val="24"/>
        </w:rPr>
        <w:t xml:space="preserve">12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0640D2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0640D2">
        <w:rPr>
          <w:rFonts w:ascii="Times New Roman" w:hAnsi="Times New Roman"/>
          <w:sz w:val="24"/>
          <w:szCs w:val="24"/>
        </w:rPr>
        <w:t xml:space="preserve"> - на каждого ребенка в случае, если ребенок в возрасте до 18 лет является ребенком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D2">
        <w:rPr>
          <w:rFonts w:ascii="Times New Roman" w:hAnsi="Times New Roman"/>
          <w:sz w:val="24"/>
          <w:szCs w:val="24"/>
        </w:rPr>
        <w:t>инвалидом, или учащегося очной формы обучения, аспиранта, ординатора, интерна, студента в возрасте до 24 лет, если он является инвалидом I или II группы</w:t>
      </w:r>
      <w:r>
        <w:rPr>
          <w:rFonts w:ascii="Times New Roman" w:hAnsi="Times New Roman"/>
          <w:sz w:val="24"/>
          <w:szCs w:val="24"/>
        </w:rPr>
        <w:t>. Этот вычет н</w:t>
      </w:r>
      <w:r w:rsidRPr="000640D2">
        <w:rPr>
          <w:rFonts w:ascii="Times New Roman" w:hAnsi="Times New Roman"/>
          <w:sz w:val="24"/>
          <w:szCs w:val="24"/>
        </w:rPr>
        <w:t>е зависит от того, кто ухаживает за ребенком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0D2">
        <w:rPr>
          <w:rFonts w:ascii="Times New Roman" w:hAnsi="Times New Roman"/>
          <w:sz w:val="24"/>
          <w:szCs w:val="24"/>
        </w:rPr>
        <w:t>инвалидом: родители (усыновители) или приемные родители (опекуны)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До 01.01.2025 </w:t>
      </w:r>
      <w:r>
        <w:rPr>
          <w:rFonts w:ascii="Times New Roman" w:hAnsi="Times New Roman"/>
          <w:sz w:val="24"/>
        </w:rPr>
        <w:t xml:space="preserve">опекунам, попечителям, приемным родителям, супруге (супругу) приемного родителя, на обеспечении которых находится ребенок – инвалид, вычет предоставляется в размере </w:t>
      </w:r>
      <w:r>
        <w:rPr>
          <w:rFonts w:ascii="Times New Roman" w:hAnsi="Times New Roman"/>
          <w:sz w:val="24"/>
          <w:szCs w:val="24"/>
        </w:rPr>
        <w:t>6 тыс. рублей</w:t>
      </w:r>
      <w:r>
        <w:rPr>
          <w:rFonts w:ascii="Times New Roman" w:hAnsi="Times New Roman"/>
          <w:sz w:val="24"/>
        </w:rPr>
        <w:t>.</w:t>
      </w:r>
      <w:proofErr w:type="gramEnd"/>
    </w:p>
    <w:p w:rsidR="00343961" w:rsidRPr="000640D2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01.01.2025 года предельный размер дохода для получения вычетов на детей увеличен с 350 тыс. руб. до 450 тыс. рублей.</w:t>
      </w:r>
    </w:p>
    <w:p w:rsidR="00343961" w:rsidRPr="00E2128D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Начиная с 2025 года, н</w:t>
      </w:r>
      <w:r w:rsidRPr="000640D2">
        <w:rPr>
          <w:rFonts w:ascii="Times New Roman" w:hAnsi="Times New Roman"/>
          <w:sz w:val="24"/>
          <w:szCs w:val="24"/>
        </w:rPr>
        <w:t xml:space="preserve">алоговый вычет </w:t>
      </w:r>
      <w:r>
        <w:rPr>
          <w:rFonts w:ascii="Times New Roman" w:hAnsi="Times New Roman"/>
          <w:sz w:val="24"/>
          <w:szCs w:val="24"/>
        </w:rPr>
        <w:t xml:space="preserve">на детей будет </w:t>
      </w:r>
      <w:r w:rsidRPr="000640D2">
        <w:rPr>
          <w:rFonts w:ascii="Times New Roman" w:hAnsi="Times New Roman"/>
          <w:sz w:val="24"/>
          <w:szCs w:val="24"/>
        </w:rPr>
        <w:t>предоставля</w:t>
      </w:r>
      <w:r>
        <w:rPr>
          <w:rFonts w:ascii="Times New Roman" w:hAnsi="Times New Roman"/>
          <w:sz w:val="24"/>
          <w:szCs w:val="24"/>
        </w:rPr>
        <w:t xml:space="preserve">ться </w:t>
      </w:r>
      <w:r w:rsidRPr="000640D2">
        <w:rPr>
          <w:rFonts w:ascii="Times New Roman" w:hAnsi="Times New Roman"/>
          <w:sz w:val="24"/>
          <w:szCs w:val="24"/>
        </w:rPr>
        <w:t>налоговым агентом, являющимся работодателем налогоплательщика, без подачи заявления о предоставлении налогового вычета при наличии у налогового агента сведений о детях, находящихся на обеспечении налогоплательщика. Налогоплательщик, впервые получающий налоговый вычет через налогового агента, являющегося работодателем, вправе представить налоговому агенту документы, подтверждающие группу или категорию инвалидности, недееспособность, прохождение обучения, возраст, а также иные документы, подтверждающие право на данный налоговый вычет. Налогоплательщик обязан проинформировать налогового агента об изменении оснований для получения налогового вычета с их документальным подтверждением (при наличии).</w:t>
      </w:r>
    </w:p>
    <w:p w:rsidR="00343961" w:rsidRPr="00E2128D" w:rsidRDefault="00343961" w:rsidP="007571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3DE1" w:rsidRDefault="00313DE1" w:rsidP="00313DE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3DE1" w:rsidSect="00A404E0">
      <w:headerReference w:type="default" r:id="rId25"/>
      <w:pgSz w:w="11906" w:h="16838"/>
      <w:pgMar w:top="851" w:right="567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B5" w:rsidRDefault="005431B5" w:rsidP="00BF5465">
      <w:pPr>
        <w:spacing w:after="0" w:line="240" w:lineRule="auto"/>
      </w:pPr>
      <w:r>
        <w:separator/>
      </w:r>
    </w:p>
  </w:endnote>
  <w:endnote w:type="continuationSeparator" w:id="0">
    <w:p w:rsidR="005431B5" w:rsidRDefault="005431B5" w:rsidP="00BF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B5" w:rsidRDefault="005431B5" w:rsidP="00BF5465">
      <w:pPr>
        <w:spacing w:after="0" w:line="240" w:lineRule="auto"/>
      </w:pPr>
      <w:r>
        <w:separator/>
      </w:r>
    </w:p>
  </w:footnote>
  <w:footnote w:type="continuationSeparator" w:id="0">
    <w:p w:rsidR="005431B5" w:rsidRDefault="005431B5" w:rsidP="00BF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11539"/>
      <w:docPartObj>
        <w:docPartGallery w:val="Page Numbers (Top of Page)"/>
        <w:docPartUnique/>
      </w:docPartObj>
    </w:sdtPr>
    <w:sdtEndPr/>
    <w:sdtContent>
      <w:p w:rsidR="00BF5465" w:rsidRDefault="00BF546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E0">
          <w:rPr>
            <w:noProof/>
          </w:rPr>
          <w:t>3</w:t>
        </w:r>
        <w:r>
          <w:fldChar w:fldCharType="end"/>
        </w:r>
      </w:p>
    </w:sdtContent>
  </w:sdt>
  <w:p w:rsidR="00BF5465" w:rsidRDefault="00BF54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9A0"/>
    <w:multiLevelType w:val="hybridMultilevel"/>
    <w:tmpl w:val="3FE80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A72D7"/>
    <w:multiLevelType w:val="hybridMultilevel"/>
    <w:tmpl w:val="0328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33EF"/>
    <w:multiLevelType w:val="multilevel"/>
    <w:tmpl w:val="18248B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9A0898"/>
    <w:multiLevelType w:val="multilevel"/>
    <w:tmpl w:val="B300AA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B20BC"/>
    <w:multiLevelType w:val="multilevel"/>
    <w:tmpl w:val="169A90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25A07"/>
    <w:multiLevelType w:val="multilevel"/>
    <w:tmpl w:val="1BB4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77E35"/>
    <w:multiLevelType w:val="hybridMultilevel"/>
    <w:tmpl w:val="FDF40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52AD2"/>
    <w:multiLevelType w:val="multilevel"/>
    <w:tmpl w:val="0EB811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524DB3"/>
    <w:multiLevelType w:val="multilevel"/>
    <w:tmpl w:val="13FE4E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F23E8"/>
    <w:multiLevelType w:val="hybridMultilevel"/>
    <w:tmpl w:val="59D80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E5B8B"/>
    <w:multiLevelType w:val="multilevel"/>
    <w:tmpl w:val="3DAC6EA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CA44B06"/>
    <w:multiLevelType w:val="multilevel"/>
    <w:tmpl w:val="C7489A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5301B"/>
    <w:multiLevelType w:val="multilevel"/>
    <w:tmpl w:val="79F2D9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80838EA"/>
    <w:multiLevelType w:val="multilevel"/>
    <w:tmpl w:val="700026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FA529D"/>
    <w:multiLevelType w:val="multilevel"/>
    <w:tmpl w:val="1EB215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5"/>
  </w:num>
  <w:num w:numId="16">
    <w:abstractNumId w:val="2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55"/>
    <w:rsid w:val="00024FE7"/>
    <w:rsid w:val="000348BE"/>
    <w:rsid w:val="0007552B"/>
    <w:rsid w:val="000D5DAD"/>
    <w:rsid w:val="000E136E"/>
    <w:rsid w:val="000E2F35"/>
    <w:rsid w:val="000E42CD"/>
    <w:rsid w:val="000E74B6"/>
    <w:rsid w:val="000F0F04"/>
    <w:rsid w:val="001153E1"/>
    <w:rsid w:val="00140FCB"/>
    <w:rsid w:val="00162938"/>
    <w:rsid w:val="00166CCE"/>
    <w:rsid w:val="00183EF7"/>
    <w:rsid w:val="001A6771"/>
    <w:rsid w:val="001B3FFC"/>
    <w:rsid w:val="001F39AB"/>
    <w:rsid w:val="001F39E6"/>
    <w:rsid w:val="001F5BA5"/>
    <w:rsid w:val="00245769"/>
    <w:rsid w:val="00254660"/>
    <w:rsid w:val="00286053"/>
    <w:rsid w:val="00293759"/>
    <w:rsid w:val="002A1BA7"/>
    <w:rsid w:val="002D0F52"/>
    <w:rsid w:val="002E5234"/>
    <w:rsid w:val="002F560E"/>
    <w:rsid w:val="0030249F"/>
    <w:rsid w:val="00313DE1"/>
    <w:rsid w:val="00330426"/>
    <w:rsid w:val="0034078F"/>
    <w:rsid w:val="00343961"/>
    <w:rsid w:val="003947B5"/>
    <w:rsid w:val="003B7A20"/>
    <w:rsid w:val="003C211A"/>
    <w:rsid w:val="003C5583"/>
    <w:rsid w:val="003D52D6"/>
    <w:rsid w:val="003E3688"/>
    <w:rsid w:val="003E6853"/>
    <w:rsid w:val="00413BAB"/>
    <w:rsid w:val="004178C5"/>
    <w:rsid w:val="00431D81"/>
    <w:rsid w:val="00437D2A"/>
    <w:rsid w:val="00455EB8"/>
    <w:rsid w:val="00487F0F"/>
    <w:rsid w:val="004B2481"/>
    <w:rsid w:val="004C0B86"/>
    <w:rsid w:val="004D1FEC"/>
    <w:rsid w:val="004E4E28"/>
    <w:rsid w:val="00510558"/>
    <w:rsid w:val="00515007"/>
    <w:rsid w:val="005242CD"/>
    <w:rsid w:val="005319FD"/>
    <w:rsid w:val="005431B5"/>
    <w:rsid w:val="00554980"/>
    <w:rsid w:val="00554D0D"/>
    <w:rsid w:val="005763D8"/>
    <w:rsid w:val="0058739A"/>
    <w:rsid w:val="0058745A"/>
    <w:rsid w:val="0059312B"/>
    <w:rsid w:val="00593A59"/>
    <w:rsid w:val="005A5FF2"/>
    <w:rsid w:val="005C07F3"/>
    <w:rsid w:val="005F3DC3"/>
    <w:rsid w:val="006264B9"/>
    <w:rsid w:val="006319A7"/>
    <w:rsid w:val="00656C55"/>
    <w:rsid w:val="006C3485"/>
    <w:rsid w:val="006E1FE1"/>
    <w:rsid w:val="006F1B23"/>
    <w:rsid w:val="006F266E"/>
    <w:rsid w:val="00703617"/>
    <w:rsid w:val="0075076A"/>
    <w:rsid w:val="007513D3"/>
    <w:rsid w:val="0075710E"/>
    <w:rsid w:val="00761E7F"/>
    <w:rsid w:val="0077263F"/>
    <w:rsid w:val="007A2328"/>
    <w:rsid w:val="007F468F"/>
    <w:rsid w:val="00802D90"/>
    <w:rsid w:val="008400E5"/>
    <w:rsid w:val="00886355"/>
    <w:rsid w:val="00887927"/>
    <w:rsid w:val="008A5B85"/>
    <w:rsid w:val="008B2942"/>
    <w:rsid w:val="00904977"/>
    <w:rsid w:val="00905027"/>
    <w:rsid w:val="00906AFC"/>
    <w:rsid w:val="00957F08"/>
    <w:rsid w:val="00962B4C"/>
    <w:rsid w:val="00964845"/>
    <w:rsid w:val="009708D8"/>
    <w:rsid w:val="009912AA"/>
    <w:rsid w:val="00996733"/>
    <w:rsid w:val="009B095A"/>
    <w:rsid w:val="009B13C3"/>
    <w:rsid w:val="009B6387"/>
    <w:rsid w:val="009D0968"/>
    <w:rsid w:val="009F1524"/>
    <w:rsid w:val="00A07B5B"/>
    <w:rsid w:val="00A404E0"/>
    <w:rsid w:val="00A5046E"/>
    <w:rsid w:val="00A52D5B"/>
    <w:rsid w:val="00A65B16"/>
    <w:rsid w:val="00A71184"/>
    <w:rsid w:val="00A92735"/>
    <w:rsid w:val="00AA6F1F"/>
    <w:rsid w:val="00AE427B"/>
    <w:rsid w:val="00AE7FC3"/>
    <w:rsid w:val="00AF0BF6"/>
    <w:rsid w:val="00B10FFB"/>
    <w:rsid w:val="00B12A10"/>
    <w:rsid w:val="00B15131"/>
    <w:rsid w:val="00B53FB5"/>
    <w:rsid w:val="00BD0EBB"/>
    <w:rsid w:val="00BF5465"/>
    <w:rsid w:val="00C11991"/>
    <w:rsid w:val="00C159A2"/>
    <w:rsid w:val="00C45A23"/>
    <w:rsid w:val="00C733C9"/>
    <w:rsid w:val="00C953E5"/>
    <w:rsid w:val="00C96306"/>
    <w:rsid w:val="00CC492C"/>
    <w:rsid w:val="00D112FC"/>
    <w:rsid w:val="00D332AB"/>
    <w:rsid w:val="00D3658F"/>
    <w:rsid w:val="00D7456A"/>
    <w:rsid w:val="00D82A7D"/>
    <w:rsid w:val="00D95D59"/>
    <w:rsid w:val="00D9695D"/>
    <w:rsid w:val="00DB3DEE"/>
    <w:rsid w:val="00E204F5"/>
    <w:rsid w:val="00E37F68"/>
    <w:rsid w:val="00E44FE4"/>
    <w:rsid w:val="00EA6F9D"/>
    <w:rsid w:val="00EB5656"/>
    <w:rsid w:val="00EC13AE"/>
    <w:rsid w:val="00F054D6"/>
    <w:rsid w:val="00F352B3"/>
    <w:rsid w:val="00F573A0"/>
    <w:rsid w:val="00F6242A"/>
    <w:rsid w:val="00F71019"/>
    <w:rsid w:val="00F91BEC"/>
    <w:rsid w:val="00FA7F33"/>
    <w:rsid w:val="00FF6D99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U:\&#1054;&#1090;&#1076;&#1077;&#1083;%20&#1086;&#1082;&#1072;&#1079;&#1072;&#1085;&#1080;&#1103;%20&#1075;&#1086;&#1089;&#1091;&#1076;&#1072;&#1088;&#1089;&#1090;&#1074;&#1077;&#1085;&#1085;&#1099;&#1093;%20&#1091;&#1089;&#1083;&#1091;&#1075;\_&#1057;&#1086;&#1090;&#1088;&#1091;&#1076;&#1085;&#1080;&#1082;&#1080;%20&#1086;&#1090;&#1076;&#1077;&#1083;&#1072;\&#1056;&#1091;&#1082;&#1086;&#1074;&#1086;&#1076;&#1089;&#1090;&#1074;&#1086;\&#1050;&#1091;&#1079;&#1100;&#1084;&#1077;&#1085;&#1082;&#1086;\&#1063;&#1091;&#1076;&#1086;_&#1084;&#1072;&#1084;&#1072;.doc" TargetMode="External"/><Relationship Id="rId18" Type="http://schemas.openxmlformats.org/officeDocument/2006/relationships/hyperlink" Target="https://login.consultant.ru/link/?req=doc&amp;base=LAW&amp;n=480697&amp;dst=10051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890&amp;dst=1013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alog.gov.ru/" TargetMode="External"/><Relationship Id="rId17" Type="http://schemas.openxmlformats.org/officeDocument/2006/relationships/hyperlink" Target="https://login.consultant.ru/link/?req=doc&amp;base=LAW&amp;n=466890&amp;dst=1697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U:\&#1054;&#1090;&#1076;&#1077;&#1083;%20&#1086;&#1082;&#1072;&#1079;&#1072;&#1085;&#1080;&#1103;%20&#1075;&#1086;&#1089;&#1091;&#1076;&#1072;&#1088;&#1089;&#1090;&#1074;&#1077;&#1085;&#1085;&#1099;&#1093;%20&#1091;&#1089;&#1083;&#1091;&#1075;\_&#1057;&#1086;&#1090;&#1088;&#1091;&#1076;&#1085;&#1080;&#1082;&#1080;%20&#1086;&#1090;&#1076;&#1077;&#1083;&#1072;\&#1056;&#1091;&#1082;&#1086;&#1074;&#1086;&#1076;&#1089;&#1090;&#1074;&#1086;\&#1050;&#1091;&#1079;&#1100;&#1084;&#1077;&#1085;&#1082;&#1086;\&#1063;&#1091;&#1076;&#1086;_&#1084;&#1072;&#1084;&#1072;.doc" TargetMode="External"/><Relationship Id="rId20" Type="http://schemas.openxmlformats.org/officeDocument/2006/relationships/hyperlink" Target="https://login.consultant.ru/link/?req=doc&amp;base=LAW&amp;n=480697&amp;dst=1004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46610" TargetMode="External"/><Relationship Id="rId24" Type="http://schemas.openxmlformats.org/officeDocument/2006/relationships/hyperlink" Target="https://login.consultant.ru/link/?req=doc&amp;base=PBI&amp;n=332789&amp;dst=1000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890&amp;dst=19920" TargetMode="External"/><Relationship Id="rId23" Type="http://schemas.openxmlformats.org/officeDocument/2006/relationships/hyperlink" Target="file:///U:\&#1054;&#1090;&#1076;&#1077;&#1083;%20&#1086;&#1082;&#1072;&#1079;&#1072;&#1085;&#1080;&#1103;%20&#1075;&#1086;&#1089;&#1091;&#1076;&#1072;&#1088;&#1089;&#1090;&#1074;&#1077;&#1085;&#1085;&#1099;&#1093;%20&#1091;&#1089;&#1083;&#1091;&#1075;\_&#1057;&#1086;&#1090;&#1088;&#1091;&#1076;&#1085;&#1080;&#1082;&#1080;%20&#1086;&#1090;&#1076;&#1077;&#1083;&#1072;\&#1056;&#1091;&#1082;&#1086;&#1074;&#1086;&#1076;&#1089;&#1090;&#1074;&#1086;\&#1050;&#1091;&#1079;&#1100;&#1084;&#1077;&#1085;&#1082;&#1086;\&#1063;&#1091;&#1076;&#1086;_&#1084;&#1072;&#1084;&#1072;.doc" TargetMode="External"/><Relationship Id="rId10" Type="http://schemas.openxmlformats.org/officeDocument/2006/relationships/hyperlink" Target="https://normativ.kontur.ru/document?moduleId=1&amp;documentId=455153&amp;p=1210&amp;utm_source=yandex&amp;utm_medium=organic&amp;utm_referer=yandex.ru%2Fsearch%2F&amp;utm_startpage=www.kontur-extern.ru%2Finfo%2F31164-elektronnaya_podpis_i_mchd_v_2023_godu_izmeneniya_i_vozmozhnosti&amp;utm_orderpage=www.kontur-extern.ru%2Finfo%2F31164-elektronnaya_podpis_i_mchd_v_2023_godu_izmeneniya_i_vozmozhnosti" TargetMode="External"/><Relationship Id="rId19" Type="http://schemas.openxmlformats.org/officeDocument/2006/relationships/hyperlink" Target="https://login.consultant.ru/link/?req=doc&amp;base=LAW&amp;n=480697&amp;dst=100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77/related_activities/ucfns/13764380/" TargetMode="External"/><Relationship Id="rId14" Type="http://schemas.openxmlformats.org/officeDocument/2006/relationships/hyperlink" Target="https://login.consultant.ru/link/?req=doc&amp;base=LAW&amp;n=480697&amp;dst=100530" TargetMode="External"/><Relationship Id="rId22" Type="http://schemas.openxmlformats.org/officeDocument/2006/relationships/hyperlink" Target="https://login.consultant.ru/link/?req=doc&amp;base=LAW&amp;n=466890&amp;dst=84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AD3C-4094-487A-8BAD-571FC859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Кузьменко Ирина Ивановна</cp:lastModifiedBy>
  <cp:revision>5</cp:revision>
  <cp:lastPrinted>2024-05-29T13:51:00Z</cp:lastPrinted>
  <dcterms:created xsi:type="dcterms:W3CDTF">2024-08-16T06:23:00Z</dcterms:created>
  <dcterms:modified xsi:type="dcterms:W3CDTF">2024-08-16T07:57:00Z</dcterms:modified>
</cp:coreProperties>
</file>