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5BA" w:rsidRPr="007A65BA" w:rsidRDefault="007A65BA" w:rsidP="007A65BA">
      <w:pPr>
        <w:pStyle w:val="ConsPlusNormal"/>
        <w:ind w:firstLine="709"/>
        <w:jc w:val="both"/>
        <w:rPr>
          <w:sz w:val="28"/>
          <w:szCs w:val="28"/>
        </w:rPr>
      </w:pPr>
      <w:r w:rsidRPr="007A65BA">
        <w:rPr>
          <w:b/>
          <w:bCs/>
          <w:sz w:val="28"/>
          <w:szCs w:val="28"/>
        </w:rPr>
        <w:t>Доработан законопроект о закреплении на постоянной основе временных мер поддержки экономики</w:t>
      </w:r>
    </w:p>
    <w:p w:rsidR="007A65BA" w:rsidRPr="007A65BA" w:rsidRDefault="007A65BA" w:rsidP="007A65BA">
      <w:pPr>
        <w:pStyle w:val="ConsPlusNormal"/>
        <w:ind w:firstLine="709"/>
        <w:jc w:val="both"/>
        <w:rPr>
          <w:sz w:val="28"/>
          <w:szCs w:val="28"/>
        </w:rPr>
      </w:pPr>
      <w:r w:rsidRPr="007A65BA">
        <w:rPr>
          <w:sz w:val="28"/>
          <w:szCs w:val="28"/>
        </w:rPr>
        <w:t xml:space="preserve">В частности, согласно законопроекту до 31 декабря 2025 года в связи с введением в отношении РФ ограничительных мер экономического характера Правительство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 а также допускается ввоз и обращение с учетом особенностей, установленных Правительством,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w:t>
      </w:r>
      <w:proofErr w:type="spellStart"/>
      <w:r w:rsidRPr="007A65BA">
        <w:rPr>
          <w:sz w:val="28"/>
          <w:szCs w:val="28"/>
        </w:rPr>
        <w:t>дефектуры</w:t>
      </w:r>
      <w:proofErr w:type="spellEnd"/>
      <w:r w:rsidRPr="007A65BA">
        <w:rPr>
          <w:sz w:val="28"/>
          <w:szCs w:val="28"/>
        </w:rPr>
        <w:t xml:space="preserve"> лекарственных препаратов или риска ее возникновения.</w:t>
      </w:r>
    </w:p>
    <w:p w:rsidR="007A65BA" w:rsidRPr="007A65BA" w:rsidRDefault="007A65BA" w:rsidP="007A65BA">
      <w:pPr>
        <w:pStyle w:val="ConsPlusNormal"/>
        <w:ind w:firstLine="709"/>
        <w:jc w:val="both"/>
        <w:rPr>
          <w:sz w:val="28"/>
          <w:szCs w:val="28"/>
        </w:rPr>
      </w:pPr>
      <w:r w:rsidRPr="007A65BA">
        <w:rPr>
          <w:sz w:val="28"/>
          <w:szCs w:val="28"/>
        </w:rPr>
        <w:t>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7A65BA" w:rsidRPr="007A65BA" w:rsidRDefault="007A65BA" w:rsidP="007A65BA">
      <w:pPr>
        <w:pStyle w:val="ConsPlusNormal"/>
        <w:ind w:firstLine="709"/>
        <w:jc w:val="both"/>
        <w:rPr>
          <w:sz w:val="28"/>
          <w:szCs w:val="28"/>
        </w:rPr>
      </w:pPr>
      <w:r w:rsidRPr="007A65BA">
        <w:rPr>
          <w:sz w:val="28"/>
          <w:szCs w:val="28"/>
        </w:rPr>
        <w:t>До 28 февраля 2025 года включительно общее собрание акционеров АО и участников ООО, повестка дня которого включает вопросы, указанные в пункте 2 статьи 50 Закона "Об акционерных обществах", абзаце втором пункта 1 статьи 38 Закона "Об обществах с ограниченной ответственностью", может быть проведено в форме заочного голосования.</w:t>
      </w:r>
    </w:p>
    <w:p w:rsidR="007A65BA" w:rsidRDefault="007A65BA" w:rsidP="007A65BA">
      <w:pPr>
        <w:pStyle w:val="ConsPlusNormal"/>
        <w:ind w:firstLine="709"/>
        <w:jc w:val="both"/>
        <w:rPr>
          <w:sz w:val="28"/>
          <w:szCs w:val="28"/>
        </w:rPr>
      </w:pPr>
      <w:r w:rsidRPr="007A65BA">
        <w:rPr>
          <w:sz w:val="28"/>
          <w:szCs w:val="28"/>
        </w:rPr>
        <w:t>Вступление в силу поправок запланировано с 1 января 2025 года, за исключением отдельных положений, для которых установлены иные сроки вступления их в силу.</w:t>
      </w:r>
    </w:p>
    <w:p w:rsidR="007A65BA" w:rsidRDefault="007A65BA" w:rsidP="007A65BA">
      <w:pPr>
        <w:pStyle w:val="ConsPlusNormal"/>
        <w:ind w:firstLine="709"/>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Уточнены особенности оплаты поставок российского природного газа в недружественные государства</w:t>
      </w:r>
    </w:p>
    <w:p w:rsidR="007A65BA" w:rsidRDefault="007A65BA" w:rsidP="007A65BA">
      <w:pPr>
        <w:pStyle w:val="ConsPlusNormal"/>
        <w:ind w:firstLine="709"/>
        <w:jc w:val="both"/>
        <w:rPr>
          <w:sz w:val="28"/>
          <w:szCs w:val="28"/>
        </w:rPr>
      </w:pPr>
      <w:r w:rsidRPr="007A65BA">
        <w:rPr>
          <w:sz w:val="28"/>
          <w:szCs w:val="28"/>
        </w:rPr>
        <w:t xml:space="preserve">Установлено, что до 1 апреля 2025 г. обязательство по оплате иностранным покупателем поставки природного газа считается </w:t>
      </w:r>
      <w:proofErr w:type="gramStart"/>
      <w:r w:rsidRPr="007A65BA">
        <w:rPr>
          <w:sz w:val="28"/>
          <w:szCs w:val="28"/>
        </w:rPr>
        <w:t>надлежащим образом</w:t>
      </w:r>
      <w:proofErr w:type="gramEnd"/>
      <w:r w:rsidRPr="007A65BA">
        <w:rPr>
          <w:sz w:val="28"/>
          <w:szCs w:val="28"/>
        </w:rPr>
        <w:t xml:space="preserve"> исполненным в случае зачисления средств в рублях на открытый российским поставщиком в российской кредитной организации рублевый счет. Положения подпункта "б" пункта 1, пунктов 7(2), 7(3), 7(4) и 8(5) настоящего Указа применяются с учетом внесенных изменений.</w:t>
      </w:r>
    </w:p>
    <w:p w:rsidR="007A65BA" w:rsidRDefault="007A65BA" w:rsidP="007A65BA">
      <w:pPr>
        <w:pStyle w:val="ConsPlusNormal"/>
        <w:ind w:firstLine="709"/>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Расширен перечень сделок (операций), на осуществление которых необходимо получение разрешения Правительственной комиссии по контролю за осуществлением иностранных инвестиций в РФ</w:t>
      </w:r>
    </w:p>
    <w:p w:rsidR="007A65BA" w:rsidRPr="007A65BA" w:rsidRDefault="007A65BA" w:rsidP="007A65BA">
      <w:pPr>
        <w:pStyle w:val="ConsPlusNormal"/>
        <w:ind w:firstLine="709"/>
        <w:jc w:val="both"/>
        <w:rPr>
          <w:sz w:val="28"/>
          <w:szCs w:val="28"/>
        </w:rPr>
      </w:pPr>
      <w:r w:rsidRPr="007A65BA">
        <w:rPr>
          <w:sz w:val="28"/>
          <w:szCs w:val="28"/>
        </w:rPr>
        <w:t xml:space="preserve">В перечень включены, в частности, некоторые сделки (операции) с еврооблигациями (облигациями); операции, связанные с исполнением ряда обязательств по кредитам (займам) и обязательств, возникающих из независимых </w:t>
      </w:r>
      <w:r w:rsidRPr="007A65BA">
        <w:rPr>
          <w:sz w:val="28"/>
          <w:szCs w:val="28"/>
        </w:rPr>
        <w:lastRenderedPageBreak/>
        <w:t>гарантий или поручительств, без соблюдения порядка, предусмотренного Указом N 95, а также обязательств по выплате прибыли, без соблюдения порядка, предусмотренного Указом N 254.</w:t>
      </w:r>
    </w:p>
    <w:p w:rsidR="007A65BA" w:rsidRDefault="007A65BA" w:rsidP="007A65BA">
      <w:pPr>
        <w:pStyle w:val="ConsPlusNormal"/>
        <w:ind w:firstLine="709"/>
        <w:jc w:val="both"/>
        <w:rPr>
          <w:sz w:val="28"/>
          <w:szCs w:val="28"/>
        </w:rPr>
      </w:pPr>
      <w:r w:rsidRPr="007A65BA">
        <w:rPr>
          <w:sz w:val="28"/>
          <w:szCs w:val="28"/>
        </w:rPr>
        <w:t>Установлен порядок направления заявления о выдаче разрешения на исполнение обязательств (осуществление выплаты), включенных в Перечень настоящим постановлением, а также уточнены некоторые положения, касающиеся выдачи разрешений.</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Планируется установить дополнительные требования к иностранным цифровым правам, которые могут быть квалифицированы в качестве цифровых прав</w:t>
      </w:r>
    </w:p>
    <w:p w:rsidR="007A65BA" w:rsidRPr="007A65BA" w:rsidRDefault="007A65BA" w:rsidP="007A65BA">
      <w:pPr>
        <w:pStyle w:val="ConsPlusNormal"/>
        <w:ind w:firstLine="709"/>
        <w:jc w:val="both"/>
        <w:rPr>
          <w:sz w:val="28"/>
          <w:szCs w:val="28"/>
        </w:rPr>
      </w:pPr>
      <w:r w:rsidRPr="007A65BA">
        <w:rPr>
          <w:sz w:val="28"/>
          <w:szCs w:val="28"/>
        </w:rPr>
        <w:t>Право регулятора установить такие требования предусмотрено Федеральным законом от 08.08.2024 N 221-ФЗ.</w:t>
      </w:r>
    </w:p>
    <w:p w:rsidR="007A65BA" w:rsidRPr="007A65BA" w:rsidRDefault="007A65BA" w:rsidP="007A65BA">
      <w:pPr>
        <w:pStyle w:val="ConsPlusNormal"/>
        <w:ind w:firstLine="709"/>
        <w:jc w:val="both"/>
        <w:rPr>
          <w:sz w:val="28"/>
          <w:szCs w:val="28"/>
        </w:rPr>
      </w:pPr>
      <w:r w:rsidRPr="007A65BA">
        <w:rPr>
          <w:sz w:val="28"/>
          <w:szCs w:val="28"/>
        </w:rPr>
        <w:t>В проекте говорится, что в качестве цифровых прав могут быть квалифицированы иностранные цифровые права, которые не включают денежные требования в иностранной валюте недружественной страны, и (или) возможность осуществления прав по эмиссионным ценным бумагам и (или) право требовать передачи эмиссионных ценных бумаг, если эмитент или обязанное по указанным эмиссионным ценным бумагам лицо является иностранным лицом - резидентом недружественной страны.</w:t>
      </w:r>
    </w:p>
    <w:p w:rsidR="007A65BA" w:rsidRDefault="007A65BA" w:rsidP="007A65BA">
      <w:pPr>
        <w:pStyle w:val="ConsPlusNormal"/>
        <w:ind w:firstLine="709"/>
        <w:jc w:val="both"/>
        <w:rPr>
          <w:sz w:val="28"/>
          <w:szCs w:val="28"/>
        </w:rPr>
      </w:pPr>
      <w:r w:rsidRPr="007A65BA">
        <w:rPr>
          <w:sz w:val="28"/>
          <w:szCs w:val="28"/>
        </w:rPr>
        <w:t>Указанные иностранные цифровые права могут быть квалифицированы в качестве цифровых прав при условии их одновременного соответствия определенным проектом требованиям.</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Ко второму чтению подготовлен законопроект, уточняющий положения об административной ответственности в сфере закупок и гособоронзаказа</w:t>
      </w:r>
    </w:p>
    <w:p w:rsidR="007A65BA" w:rsidRPr="007A65BA" w:rsidRDefault="007A65BA" w:rsidP="007A65BA">
      <w:pPr>
        <w:pStyle w:val="ConsPlusNormal"/>
        <w:ind w:firstLine="709"/>
        <w:jc w:val="both"/>
        <w:rPr>
          <w:sz w:val="28"/>
          <w:szCs w:val="28"/>
        </w:rPr>
      </w:pPr>
      <w:r w:rsidRPr="007A65BA">
        <w:rPr>
          <w:sz w:val="28"/>
          <w:szCs w:val="28"/>
        </w:rPr>
        <w:t>КоАП РФ приводится в соответствие с изменениями, внесенными Федеральным законом от 2 июля 2021 г. N 360-ФЗ в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7A65BA" w:rsidRPr="007A65BA" w:rsidRDefault="007A65BA" w:rsidP="007A65BA">
      <w:pPr>
        <w:pStyle w:val="ConsPlusNormal"/>
        <w:ind w:firstLine="709"/>
        <w:jc w:val="both"/>
        <w:rPr>
          <w:sz w:val="28"/>
          <w:szCs w:val="28"/>
        </w:rPr>
      </w:pPr>
      <w:r w:rsidRPr="007A65BA">
        <w:rPr>
          <w:sz w:val="28"/>
          <w:szCs w:val="28"/>
        </w:rPr>
        <w:t>Так, некоторые статьи КоАП РФ об административной ответственности в сфере госзакупок и гособоронзаказа признаются утратившими силу. Взамен Кодекс предлагается дополнить новыми статьями, предусматривающими административную ответственность, в частности, за: нарушение порядка планирования закупок; нарушение порядка заключения, исполнения, изменения и расторжения контракта; нарушение порядка формирования, размещения и выполнения государственного оборонного заказа; нарушение процедуры обязательных торгов, продажи государственного или муниципального имущества и пр.</w:t>
      </w:r>
    </w:p>
    <w:p w:rsidR="007A65BA" w:rsidRPr="007A65BA" w:rsidRDefault="007A65BA" w:rsidP="007A65BA">
      <w:pPr>
        <w:pStyle w:val="ConsPlusNormal"/>
        <w:ind w:firstLine="709"/>
        <w:jc w:val="both"/>
        <w:rPr>
          <w:sz w:val="28"/>
          <w:szCs w:val="28"/>
        </w:rPr>
      </w:pPr>
      <w:r w:rsidRPr="007A65BA">
        <w:rPr>
          <w:sz w:val="28"/>
          <w:szCs w:val="28"/>
        </w:rPr>
        <w:lastRenderedPageBreak/>
        <w:t>Кроме этого, законопроектом в целях сокращения числа лиц, привлекаемых к административной ответственности в виде административного штрафа, закрепляется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w:t>
      </w:r>
    </w:p>
    <w:p w:rsidR="007A65BA" w:rsidRDefault="007A65BA" w:rsidP="007A65BA">
      <w:pPr>
        <w:pStyle w:val="ConsPlusNormal"/>
        <w:ind w:firstLine="709"/>
        <w:jc w:val="both"/>
        <w:rPr>
          <w:sz w:val="28"/>
          <w:szCs w:val="28"/>
        </w:rPr>
      </w:pPr>
      <w:r w:rsidRPr="007A65BA">
        <w:rPr>
          <w:sz w:val="28"/>
          <w:szCs w:val="28"/>
        </w:rPr>
        <w:t>В случае принятия изменения вступят в силу с 1 марта 2025 года, за исключением отдельного положения, для которого предусмотрен иной срок его вступления в силу.</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Предложен порядок уничтожения или использования товаров, подлежащих обязательной маркировке и конфискованных по решению суда</w:t>
      </w:r>
    </w:p>
    <w:p w:rsidR="007A65BA" w:rsidRDefault="007A65BA" w:rsidP="007A65BA">
      <w:pPr>
        <w:pStyle w:val="ConsPlusNormal"/>
        <w:ind w:firstLine="709"/>
        <w:jc w:val="both"/>
        <w:rPr>
          <w:sz w:val="28"/>
          <w:szCs w:val="28"/>
        </w:rPr>
      </w:pPr>
      <w:r w:rsidRPr="007A65BA">
        <w:rPr>
          <w:sz w:val="28"/>
          <w:szCs w:val="28"/>
        </w:rPr>
        <w:t xml:space="preserve">Согласно законопроекту, конфискованные по решению суда товары и продукция, в отношении которых установлены требования по маркировке, явившиеся орудиями совершения или предметами административных правонарушений, предусмотренных статьей 15.12 КоАП РФ (за исключением спиртосодержащих лекарственных препаратов для медицинского применения, спиртосодержащей парфюмерно-косметической продукции, алкогольной продукции, табачной и </w:t>
      </w:r>
      <w:proofErr w:type="spellStart"/>
      <w:r w:rsidRPr="007A65BA">
        <w:rPr>
          <w:sz w:val="28"/>
          <w:szCs w:val="28"/>
        </w:rPr>
        <w:t>никотинсодержащей</w:t>
      </w:r>
      <w:proofErr w:type="spellEnd"/>
      <w:r w:rsidRPr="007A65BA">
        <w:rPr>
          <w:sz w:val="28"/>
          <w:szCs w:val="28"/>
        </w:rPr>
        <w:t xml:space="preserve"> продукции, а также товаров легкой промышленности, распоряжение которыми осуществляется в соответствии с порядком, установленным законодательством), по результатам экспертизы, проведенной в установленном Правительством РФ порядке, при признании их небезопасными или непригодными для использования по прямому назначению подлежат направлению на переработку (утилизацию), уничтожение либо при признании их безопасными или пригодными для использования по прямому назначению могут быть безвозмездно переданы для осуществления мер по чрезвычайному гуманитарному реагированию уполномоченным федеральным органам исполнительной власти или уполномоченным организациям в случаях и порядке, которые установлены Правительством РФ.</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Предлагается исключить пункт 3.4 части 1 статьи 5 Федерального закона "Об основах государственного регулирования торговой деятельности в Российской Федерации", предусматривающий полномочие Правительства РФ на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7A65BA" w:rsidRPr="007A65BA" w:rsidRDefault="007A65BA" w:rsidP="007A65BA">
      <w:pPr>
        <w:pStyle w:val="ConsPlusNormal"/>
        <w:ind w:firstLine="709"/>
        <w:jc w:val="both"/>
        <w:rPr>
          <w:sz w:val="28"/>
          <w:szCs w:val="28"/>
        </w:rPr>
      </w:pPr>
      <w:r w:rsidRPr="007A65BA">
        <w:rPr>
          <w:sz w:val="28"/>
          <w:szCs w:val="28"/>
        </w:rPr>
        <w:t xml:space="preserve">Согласно пояснительной записке, анализ правоприменительной практики, обусловившей необходимость изменения правового регулирования, указывает на отсутствие самостоятельного предмета правового регулирования для нормативного правового акта Правительства РФ, поскольку вопросы порядка изъятия, хранения и распоряжения товарами, выявленными в процессе </w:t>
      </w:r>
      <w:r w:rsidRPr="007A65BA">
        <w:rPr>
          <w:sz w:val="28"/>
          <w:szCs w:val="28"/>
        </w:rPr>
        <w:lastRenderedPageBreak/>
        <w:t>осуществления государственного контроля (надзора) и правоохранительной деятельности и являющимися объектом или предметом противоправной деятельности, в достаточной степени уже урегулированы законодательством.</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С 1 января 2025 года уточняются полномочия Росреестра</w:t>
      </w:r>
    </w:p>
    <w:p w:rsidR="007A65BA" w:rsidRPr="007A65BA" w:rsidRDefault="007A65BA" w:rsidP="007A65BA">
      <w:pPr>
        <w:pStyle w:val="ConsPlusNormal"/>
        <w:ind w:firstLine="709"/>
        <w:jc w:val="both"/>
        <w:rPr>
          <w:sz w:val="28"/>
          <w:szCs w:val="28"/>
        </w:rPr>
      </w:pPr>
      <w:r w:rsidRPr="007A65BA">
        <w:rPr>
          <w:sz w:val="28"/>
          <w:szCs w:val="28"/>
        </w:rPr>
        <w:t>В частности, признается утратившим силу полномочие по определению размера и порядка взимания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своего официального сайта в сети "Интернет" любым заинтересованным лицом за плату.</w:t>
      </w:r>
    </w:p>
    <w:p w:rsidR="007A65BA" w:rsidRDefault="007A65BA" w:rsidP="007A65BA">
      <w:pPr>
        <w:pStyle w:val="ConsPlusNormal"/>
        <w:ind w:firstLine="709"/>
        <w:jc w:val="both"/>
        <w:rPr>
          <w:sz w:val="28"/>
          <w:szCs w:val="28"/>
        </w:rPr>
      </w:pPr>
      <w:r w:rsidRPr="007A65BA">
        <w:rPr>
          <w:sz w:val="28"/>
          <w:szCs w:val="28"/>
        </w:rPr>
        <w:t>Кроме того, на Службу возлагается установление мероприятий по обеспечению соответствия деятельности Службы, ее территориальных органов целям и задачам государственной политики по сохранению и укреплению традиционных российских духовно-нравственных ценностей.</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С 1 января по 1 июля 2025 г. будет проводиться эксперимент по автоматизации процесса документооборота между организациями воздушного транспорта и Росавиацией в части согласования отчетности о выполнении субсидированных пассажирских перевозок на воздушном транспорте для предоставления (получения) субсидий</w:t>
      </w:r>
    </w:p>
    <w:p w:rsidR="007A65BA" w:rsidRPr="007A65BA" w:rsidRDefault="007A65BA" w:rsidP="007A65BA">
      <w:pPr>
        <w:pStyle w:val="ConsPlusNormal"/>
        <w:ind w:firstLine="709"/>
        <w:jc w:val="both"/>
        <w:rPr>
          <w:sz w:val="28"/>
          <w:szCs w:val="28"/>
        </w:rPr>
      </w:pPr>
      <w:r w:rsidRPr="007A65BA">
        <w:rPr>
          <w:sz w:val="28"/>
          <w:szCs w:val="28"/>
        </w:rPr>
        <w:t>Целями эксперимента являются в том числе реализация единого подхода и механизмов контроля соблюдения целей, условий и порядка предоставления субсидий посредством внедрения единого для всех организаций воздушного транспорта, участвующих в эксперименте, стандарта оформления воздушных перевозок населения по специальному тарифу, обеспечение пассажиру возможности оформления билета по специальному тарифу с подтверждением в электронной форме права на оформление такого билета.</w:t>
      </w:r>
    </w:p>
    <w:p w:rsidR="007A65BA" w:rsidRPr="007A65BA" w:rsidRDefault="007A65BA" w:rsidP="007A65BA">
      <w:pPr>
        <w:pStyle w:val="ConsPlusNormal"/>
        <w:ind w:firstLine="709"/>
        <w:jc w:val="both"/>
        <w:rPr>
          <w:sz w:val="28"/>
          <w:szCs w:val="28"/>
        </w:rPr>
      </w:pPr>
      <w:r w:rsidRPr="007A65BA">
        <w:rPr>
          <w:sz w:val="28"/>
          <w:szCs w:val="28"/>
        </w:rPr>
        <w:t>Критериями достижения целей эксперимента являются, в частности, создание условий для повышения доступности воздушных перевозок для лиц с ограниченными возможностями здоровья (инвалидов I и II групп, детей-инвалидов и лиц, их сопровождающих, право которых на оформление билета по специальному тарифу предусмотрено решением о порядке предоставления субсидии), снижение временных затрат на оформление билетов по специальному тарифу организациями воздушного транспорта путем внедрения цифрового сервиса, обеспечивающего проверку права пассажира на оформление билета по специальному тарифу в электронном виде (в режиме реального времени), а также автоматизированного контроля расходования пассажиром квот на оформление и использование таких билетов.</w:t>
      </w:r>
    </w:p>
    <w:p w:rsidR="007A65BA" w:rsidRDefault="007A65BA" w:rsidP="007A65BA">
      <w:pPr>
        <w:pStyle w:val="ConsPlusNormal"/>
        <w:ind w:firstLine="709"/>
        <w:jc w:val="both"/>
        <w:rPr>
          <w:sz w:val="28"/>
          <w:szCs w:val="28"/>
        </w:rPr>
      </w:pPr>
      <w:r w:rsidRPr="007A65BA">
        <w:rPr>
          <w:sz w:val="28"/>
          <w:szCs w:val="28"/>
        </w:rPr>
        <w:t>Пассажиры участвуют в эксперименте на добровольной основе путем дачи согласия на участие в эксперименте при внесении сведений о себе через сайты в сети "Интернет" организаций воздушного транспорта для целей оформления билетов по специальному тарифу с подтверждением согласия на обработку персональных данных организацией воздушного транспорта.</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Расширены полномочия Правительственной комиссии по вопросам оптимизации и повышения эффективности бюджетных расходов в целях повышения эффективности деятельности отдельных акционерных обществ</w:t>
      </w:r>
    </w:p>
    <w:p w:rsidR="007A65BA" w:rsidRPr="007A65BA" w:rsidRDefault="007A65BA" w:rsidP="007A65BA">
      <w:pPr>
        <w:pStyle w:val="ConsPlusNormal"/>
        <w:ind w:firstLine="709"/>
        <w:jc w:val="both"/>
        <w:rPr>
          <w:sz w:val="28"/>
          <w:szCs w:val="28"/>
        </w:rPr>
      </w:pPr>
      <w:r w:rsidRPr="007A65BA">
        <w:rPr>
          <w:sz w:val="28"/>
          <w:szCs w:val="28"/>
        </w:rPr>
        <w:t>К функциям Комиссии отнесено также:</w:t>
      </w:r>
    </w:p>
    <w:p w:rsidR="007A65BA" w:rsidRPr="007A65BA" w:rsidRDefault="007A65BA" w:rsidP="007A65BA">
      <w:pPr>
        <w:pStyle w:val="ConsPlusNormal"/>
        <w:ind w:firstLine="709"/>
        <w:jc w:val="both"/>
        <w:rPr>
          <w:sz w:val="28"/>
          <w:szCs w:val="28"/>
        </w:rPr>
      </w:pPr>
      <w:r w:rsidRPr="007A65BA">
        <w:rPr>
          <w:sz w:val="28"/>
          <w:szCs w:val="28"/>
        </w:rPr>
        <w:t>определение перечней акционерных обществ, акции которых находятся в федеральной собственности, ФГУП, а также НКО, учрежденных Российской Федерацией, в отношении которых проводится оценка уровня долговой нагрузки и операционных расходов;</w:t>
      </w:r>
    </w:p>
    <w:p w:rsidR="007A65BA" w:rsidRPr="007A65BA" w:rsidRDefault="007A65BA" w:rsidP="007A65BA">
      <w:pPr>
        <w:pStyle w:val="ConsPlusNormal"/>
        <w:ind w:firstLine="709"/>
        <w:jc w:val="both"/>
        <w:rPr>
          <w:sz w:val="28"/>
          <w:szCs w:val="28"/>
        </w:rPr>
      </w:pPr>
      <w:r w:rsidRPr="007A65BA">
        <w:rPr>
          <w:sz w:val="28"/>
          <w:szCs w:val="28"/>
        </w:rPr>
        <w:t>одобрение методики оценки уровня долговой нагрузки и методики оценки уровня операционных расходов таких акционерных обществ.</w:t>
      </w:r>
    </w:p>
    <w:p w:rsidR="007A65BA" w:rsidRDefault="007A65BA" w:rsidP="007A65BA">
      <w:pPr>
        <w:pStyle w:val="ConsPlusNormal"/>
        <w:ind w:firstLine="709"/>
        <w:jc w:val="both"/>
        <w:rPr>
          <w:sz w:val="28"/>
          <w:szCs w:val="28"/>
        </w:rPr>
      </w:pPr>
      <w:r w:rsidRPr="007A65BA">
        <w:rPr>
          <w:sz w:val="28"/>
          <w:szCs w:val="28"/>
        </w:rPr>
        <w:t>Также даны поручения Минфину России и ФНС России, в том числе в целях осуществления мониторинга финансового состояния и уровня долговой нагрузки акционерных обществ.</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Определен порядок подготовки и распространения государственного доклада о деятельности, осуществляемой в рамках реализации экспериментальных правовых режимов в сфере цифровых инноваций</w:t>
      </w:r>
    </w:p>
    <w:p w:rsidR="007A65BA" w:rsidRPr="007A65BA" w:rsidRDefault="007A65BA" w:rsidP="007A65BA">
      <w:pPr>
        <w:pStyle w:val="ConsPlusNormal"/>
        <w:ind w:firstLine="709"/>
        <w:jc w:val="both"/>
        <w:rPr>
          <w:sz w:val="28"/>
          <w:szCs w:val="28"/>
        </w:rPr>
      </w:pPr>
      <w:r w:rsidRPr="007A65BA">
        <w:rPr>
          <w:sz w:val="28"/>
          <w:szCs w:val="28"/>
        </w:rPr>
        <w:t>Предусмотрены периодичность подготовки доклада, содержание его разделов и подразделов, порядок его согласования и размещения на официальном сайте уполномоченного органа.</w:t>
      </w:r>
    </w:p>
    <w:p w:rsidR="007A65BA" w:rsidRDefault="007A65BA" w:rsidP="007A65BA">
      <w:pPr>
        <w:pStyle w:val="ConsPlusNormal"/>
        <w:ind w:firstLine="709"/>
        <w:jc w:val="both"/>
        <w:rPr>
          <w:sz w:val="28"/>
          <w:szCs w:val="28"/>
        </w:rPr>
      </w:pPr>
      <w:r w:rsidRPr="007A65BA">
        <w:rPr>
          <w:sz w:val="28"/>
          <w:szCs w:val="28"/>
        </w:rPr>
        <w:t>Постановление вступает в силу со дня вступления в силу Федерального закона от 08.07.2024 N 169-ФЗ "О внесении изменений в Федеральный закон "Об экспериментальных правовых режимах в сфере цифровых инноваций в Российской Федерации".</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 xml:space="preserve">Уточняются полномочия Минэкономразвития и </w:t>
      </w:r>
      <w:proofErr w:type="spellStart"/>
      <w:r w:rsidRPr="007A65BA">
        <w:rPr>
          <w:b/>
          <w:bCs/>
          <w:sz w:val="28"/>
          <w:szCs w:val="28"/>
        </w:rPr>
        <w:t>Росаккредитации</w:t>
      </w:r>
      <w:proofErr w:type="spellEnd"/>
      <w:r w:rsidRPr="007A65BA">
        <w:rPr>
          <w:b/>
          <w:bCs/>
          <w:sz w:val="28"/>
          <w:szCs w:val="28"/>
        </w:rPr>
        <w:t xml:space="preserve"> по вопросам классификации в сфере туристской индустрии</w:t>
      </w:r>
    </w:p>
    <w:p w:rsidR="007A65BA" w:rsidRPr="007A65BA" w:rsidRDefault="007A65BA" w:rsidP="007A65BA">
      <w:pPr>
        <w:pStyle w:val="ConsPlusNormal"/>
        <w:ind w:firstLine="709"/>
        <w:jc w:val="both"/>
        <w:rPr>
          <w:sz w:val="28"/>
          <w:szCs w:val="28"/>
        </w:rPr>
      </w:pPr>
      <w:r w:rsidRPr="007A65BA">
        <w:rPr>
          <w:sz w:val="28"/>
          <w:szCs w:val="28"/>
        </w:rPr>
        <w:t>Так, в частности, из компетенции Минэкономразвития исключаются полномочия по утверждению:</w:t>
      </w:r>
    </w:p>
    <w:p w:rsidR="007A65BA" w:rsidRPr="007A65BA" w:rsidRDefault="007A65BA" w:rsidP="007A65BA">
      <w:pPr>
        <w:pStyle w:val="ConsPlusNormal"/>
        <w:ind w:firstLine="709"/>
        <w:jc w:val="both"/>
        <w:rPr>
          <w:sz w:val="28"/>
          <w:szCs w:val="28"/>
        </w:rPr>
      </w:pPr>
      <w:r w:rsidRPr="007A65BA">
        <w:rPr>
          <w:sz w:val="28"/>
          <w:szCs w:val="28"/>
        </w:rPr>
        <w:t xml:space="preserve">порядка ведения перечня аккредитованных организаций, осуществляющих классификацию гостиниц, горнолыжных трасс, пляжей, и размещения сведений, содержащихся в таком перечне, на официальном сайте </w:t>
      </w:r>
      <w:proofErr w:type="spellStart"/>
      <w:r w:rsidRPr="007A65BA">
        <w:rPr>
          <w:sz w:val="28"/>
          <w:szCs w:val="28"/>
        </w:rPr>
        <w:t>Росаккредитации</w:t>
      </w:r>
      <w:proofErr w:type="spellEnd"/>
      <w:r w:rsidRPr="007A65BA">
        <w:rPr>
          <w:sz w:val="28"/>
          <w:szCs w:val="28"/>
        </w:rPr>
        <w:t xml:space="preserve"> в сети Интернет;</w:t>
      </w:r>
    </w:p>
    <w:p w:rsidR="007A65BA" w:rsidRPr="007A65BA" w:rsidRDefault="007A65BA" w:rsidP="007A65BA">
      <w:pPr>
        <w:pStyle w:val="ConsPlusNormal"/>
        <w:ind w:firstLine="709"/>
        <w:jc w:val="both"/>
        <w:rPr>
          <w:sz w:val="28"/>
          <w:szCs w:val="28"/>
        </w:rPr>
      </w:pPr>
      <w:r w:rsidRPr="007A65BA">
        <w:rPr>
          <w:sz w:val="28"/>
          <w:szCs w:val="28"/>
        </w:rPr>
        <w:t xml:space="preserve">порядка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w:t>
      </w:r>
      <w:proofErr w:type="spellStart"/>
      <w:r w:rsidRPr="007A65BA">
        <w:rPr>
          <w:sz w:val="28"/>
          <w:szCs w:val="28"/>
        </w:rPr>
        <w:t>Росаккредитации</w:t>
      </w:r>
      <w:proofErr w:type="spellEnd"/>
      <w:r w:rsidRPr="007A65BA">
        <w:rPr>
          <w:sz w:val="28"/>
          <w:szCs w:val="28"/>
        </w:rPr>
        <w:t xml:space="preserve"> в сети Интернет.</w:t>
      </w:r>
    </w:p>
    <w:p w:rsidR="007A65BA" w:rsidRPr="007A65BA" w:rsidRDefault="007A65BA" w:rsidP="007A65BA">
      <w:pPr>
        <w:pStyle w:val="ConsPlusNormal"/>
        <w:ind w:firstLine="709"/>
        <w:jc w:val="both"/>
        <w:rPr>
          <w:sz w:val="28"/>
          <w:szCs w:val="28"/>
        </w:rPr>
      </w:pPr>
      <w:r w:rsidRPr="007A65BA">
        <w:rPr>
          <w:sz w:val="28"/>
          <w:szCs w:val="28"/>
        </w:rPr>
        <w:lastRenderedPageBreak/>
        <w:t>Минэкономразвития наделяется полномочиями по утверждению состава и положения о совете по классификации средств размещения.</w:t>
      </w:r>
    </w:p>
    <w:p w:rsidR="007A65BA" w:rsidRPr="007A65BA" w:rsidRDefault="007A65BA" w:rsidP="007A65BA">
      <w:pPr>
        <w:pStyle w:val="ConsPlusNormal"/>
        <w:ind w:firstLine="709"/>
        <w:jc w:val="both"/>
        <w:rPr>
          <w:sz w:val="28"/>
          <w:szCs w:val="28"/>
        </w:rPr>
      </w:pPr>
      <w:r w:rsidRPr="007A65BA">
        <w:rPr>
          <w:sz w:val="28"/>
          <w:szCs w:val="28"/>
        </w:rPr>
        <w:t xml:space="preserve">В то же время </w:t>
      </w:r>
      <w:proofErr w:type="spellStart"/>
      <w:r w:rsidRPr="007A65BA">
        <w:rPr>
          <w:sz w:val="28"/>
          <w:szCs w:val="28"/>
        </w:rPr>
        <w:t>Росаккредитация</w:t>
      </w:r>
      <w:proofErr w:type="spellEnd"/>
      <w:r w:rsidRPr="007A65BA">
        <w:rPr>
          <w:sz w:val="28"/>
          <w:szCs w:val="28"/>
        </w:rPr>
        <w:t xml:space="preserve"> наделяется полномочиями:</w:t>
      </w:r>
    </w:p>
    <w:p w:rsidR="007A65BA" w:rsidRPr="007A65BA" w:rsidRDefault="007A65BA" w:rsidP="007A65BA">
      <w:pPr>
        <w:pStyle w:val="ConsPlusNormal"/>
        <w:ind w:firstLine="709"/>
        <w:jc w:val="both"/>
        <w:rPr>
          <w:sz w:val="28"/>
          <w:szCs w:val="28"/>
        </w:rPr>
      </w:pPr>
      <w:r w:rsidRPr="007A65BA">
        <w:rPr>
          <w:sz w:val="28"/>
          <w:szCs w:val="28"/>
        </w:rPr>
        <w:t>по подтверждению компетентности организаций, осуществляющих классификацию в сфере туристской деятельности;</w:t>
      </w:r>
    </w:p>
    <w:p w:rsidR="007A65BA" w:rsidRPr="007A65BA" w:rsidRDefault="007A65BA" w:rsidP="007A65BA">
      <w:pPr>
        <w:pStyle w:val="ConsPlusNormal"/>
        <w:ind w:firstLine="709"/>
        <w:jc w:val="both"/>
        <w:rPr>
          <w:sz w:val="28"/>
          <w:szCs w:val="28"/>
        </w:rPr>
      </w:pPr>
      <w:r w:rsidRPr="007A65BA">
        <w:rPr>
          <w:sz w:val="28"/>
          <w:szCs w:val="28"/>
        </w:rPr>
        <w:t>по формированию и ведению реестра организаций, осуществляющих классификацию в сфере туристской индустрии и единого реестра объектов классификации в сфере туристской индустрии.</w:t>
      </w:r>
    </w:p>
    <w:p w:rsidR="007A65BA" w:rsidRDefault="007A65BA" w:rsidP="007A65BA">
      <w:pPr>
        <w:pStyle w:val="ConsPlusNormal"/>
        <w:ind w:firstLine="709"/>
        <w:jc w:val="both"/>
        <w:rPr>
          <w:sz w:val="28"/>
          <w:szCs w:val="28"/>
        </w:rPr>
      </w:pPr>
      <w:r w:rsidRPr="007A65BA">
        <w:rPr>
          <w:sz w:val="28"/>
          <w:szCs w:val="28"/>
        </w:rPr>
        <w:t>Настоящее постановление вступает в силу с 1 января 2025 года.</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ВЭБ.РФ и "Промсвязьбанк" будут представлять в 2025 году интересы Российской Федерации в судах в качестве агентов Правительства</w:t>
      </w:r>
    </w:p>
    <w:p w:rsidR="007A65BA" w:rsidRPr="007A65BA" w:rsidRDefault="007A65BA" w:rsidP="007A65BA">
      <w:pPr>
        <w:pStyle w:val="ConsPlusNormal"/>
        <w:ind w:firstLine="709"/>
        <w:jc w:val="both"/>
        <w:rPr>
          <w:sz w:val="28"/>
          <w:szCs w:val="28"/>
        </w:rPr>
      </w:pPr>
      <w:r w:rsidRPr="007A65BA">
        <w:rPr>
          <w:sz w:val="28"/>
          <w:szCs w:val="28"/>
        </w:rPr>
        <w:t>Представление интересов будет осуществляться по вопросам обеспечения возврата (погашения) задолженности по денежным обязательствам перед РФ, а также предоставления государственных гарантий РФ, их сопровождения, администрирования и исполнения.</w:t>
      </w:r>
    </w:p>
    <w:p w:rsidR="007A65BA" w:rsidRDefault="007A65BA" w:rsidP="007A65BA">
      <w:pPr>
        <w:pStyle w:val="ConsPlusNormal"/>
        <w:ind w:firstLine="709"/>
        <w:jc w:val="both"/>
        <w:rPr>
          <w:sz w:val="28"/>
          <w:szCs w:val="28"/>
        </w:rPr>
      </w:pPr>
      <w:r w:rsidRPr="007A65BA">
        <w:rPr>
          <w:sz w:val="28"/>
          <w:szCs w:val="28"/>
        </w:rPr>
        <w:t>Настоящее распоряжение вступает в силу с 1 января 2025 года.</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Дополнен перечень индикаторов риска нарушения обязательных требований, используемых при осуществлении федерального государственного надзора в области промышленной безопасности</w:t>
      </w:r>
    </w:p>
    <w:p w:rsidR="007A65BA" w:rsidRDefault="007A65BA" w:rsidP="007A65BA">
      <w:pPr>
        <w:pStyle w:val="ConsPlusNormal"/>
        <w:ind w:firstLine="709"/>
        <w:jc w:val="both"/>
        <w:rPr>
          <w:sz w:val="28"/>
          <w:szCs w:val="28"/>
        </w:rPr>
      </w:pPr>
      <w:r w:rsidRPr="007A65BA">
        <w:rPr>
          <w:sz w:val="28"/>
          <w:szCs w:val="28"/>
        </w:rPr>
        <w:t xml:space="preserve">Таким индикатором является в числе прочего осуществление юридическим лицом деятельности, связанной с пиротехническими изделиями при отсутствии у Ростехнадзора (территориального органа) сведений о наличии у этого юридического лица в течение более 30 календарных дней со дня получения такой лицензии (внесения изменений в реестр лицензий) лицензии на эксплуатацию взрывопожароопасных и химически опасных производственных объектов I, II и III классов опасности, дающей право осуществления работ в рамках лицензируемого вида деятельности по адресу места осуществления лицензируемого вида деятельности, указанному в реестре лицензий, для деятельности, связанной с пиротехническими изделиями (при условии </w:t>
      </w:r>
      <w:proofErr w:type="spellStart"/>
      <w:r w:rsidRPr="007A65BA">
        <w:rPr>
          <w:sz w:val="28"/>
          <w:szCs w:val="28"/>
        </w:rPr>
        <w:t>непоступления</w:t>
      </w:r>
      <w:proofErr w:type="spellEnd"/>
      <w:r w:rsidRPr="007A65BA">
        <w:rPr>
          <w:sz w:val="28"/>
          <w:szCs w:val="28"/>
        </w:rPr>
        <w:t xml:space="preserve"> в течение указанного срока заявления о предоставлении лицензии на эксплуатацию взрывопожароопасных и химически опасных производственных объектов I, II и III классов опасности или внесении изменений в реестр лицензий в связи с дополнением сведениями о месте осуществления такого вида деятельности по адресу, указанному в реестре лицензий для деятельности, связанной с пиротехническими изделиями).</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r w:rsidRPr="007A65BA">
        <w:rPr>
          <w:b/>
          <w:bCs/>
          <w:sz w:val="28"/>
          <w:szCs w:val="28"/>
        </w:rPr>
        <w:lastRenderedPageBreak/>
        <w:t>Дополнен перечень индикаторов риска нарушения обязательных требований при осуществлении федерального государственного контроля (надзора) в области торгового мореплавания и внутреннего водного транспорта</w:t>
      </w:r>
    </w:p>
    <w:p w:rsidR="007A65BA" w:rsidRPr="007A65BA" w:rsidRDefault="007A65BA" w:rsidP="007A65BA">
      <w:pPr>
        <w:pStyle w:val="ConsPlusNormal"/>
        <w:ind w:firstLine="709"/>
        <w:jc w:val="both"/>
        <w:rPr>
          <w:sz w:val="28"/>
          <w:szCs w:val="28"/>
        </w:rPr>
      </w:pPr>
      <w:r w:rsidRPr="007A65BA">
        <w:rPr>
          <w:sz w:val="28"/>
          <w:szCs w:val="28"/>
        </w:rPr>
        <w:t>Такими индикаторами являются, в том числе:</w:t>
      </w:r>
    </w:p>
    <w:p w:rsidR="007A65BA" w:rsidRPr="007A65BA" w:rsidRDefault="007A65BA" w:rsidP="007A65BA">
      <w:pPr>
        <w:pStyle w:val="ConsPlusNormal"/>
        <w:ind w:firstLine="709"/>
        <w:jc w:val="both"/>
        <w:rPr>
          <w:sz w:val="28"/>
          <w:szCs w:val="28"/>
        </w:rPr>
      </w:pPr>
      <w:r w:rsidRPr="007A65BA">
        <w:rPr>
          <w:sz w:val="28"/>
          <w:szCs w:val="28"/>
        </w:rPr>
        <w:t>выявление в течение 180 календарных дней со дня первой аварии и (или) первого инцидента с судном повторной аварии и (или) повторного инцидента с судном одного владельца, отнесенных на его учет и не приведших к гибели человека, к причинению тяжкого вреда здоровью человека и ущерба окружающей среде;</w:t>
      </w:r>
    </w:p>
    <w:p w:rsidR="007A65BA" w:rsidRPr="007A65BA" w:rsidRDefault="007A65BA" w:rsidP="007A65BA">
      <w:pPr>
        <w:pStyle w:val="ConsPlusNormal"/>
        <w:ind w:firstLine="709"/>
        <w:jc w:val="both"/>
        <w:rPr>
          <w:sz w:val="28"/>
          <w:szCs w:val="28"/>
        </w:rPr>
      </w:pPr>
      <w:r w:rsidRPr="007A65BA">
        <w:rPr>
          <w:sz w:val="28"/>
          <w:szCs w:val="28"/>
        </w:rPr>
        <w:t>приостановление действия судовых свидетельств об управлении безопасностью в течение одного календарного года у двух и более судов одного владельца, осуществляющего деятельность на внутренних водных путях РФ;</w:t>
      </w:r>
    </w:p>
    <w:p w:rsidR="007A65BA" w:rsidRPr="007A65BA" w:rsidRDefault="007A65BA" w:rsidP="007A65BA">
      <w:pPr>
        <w:pStyle w:val="ConsPlusNormal"/>
        <w:ind w:firstLine="709"/>
        <w:jc w:val="both"/>
        <w:rPr>
          <w:sz w:val="28"/>
          <w:szCs w:val="28"/>
        </w:rPr>
      </w:pPr>
      <w:r w:rsidRPr="007A65BA">
        <w:rPr>
          <w:sz w:val="28"/>
          <w:szCs w:val="28"/>
        </w:rPr>
        <w:t>выявление в течение 180 календарных дней со дня задержания или официального запрета на эксплуатацию судна под флагом РФ, выданного органами государственного портового контроля иностранного морского порта, повторного задержания или официального запрета на эксплуатацию данного судна или любого другого судна одного и того же владельца, выданного органами государственного портового контроля иностранного морского порта, по причине выявления нарушения обязательных требований, указанных в Международном кодексе по управлению безопасной эксплуатацией судов и предотвращением загрязнения, Международном кодексе по охране судов и портовых средств;</w:t>
      </w:r>
    </w:p>
    <w:p w:rsidR="007A65BA" w:rsidRDefault="007A65BA" w:rsidP="007A65BA">
      <w:pPr>
        <w:pStyle w:val="ConsPlusNormal"/>
        <w:ind w:firstLine="709"/>
        <w:jc w:val="both"/>
        <w:rPr>
          <w:sz w:val="28"/>
          <w:szCs w:val="28"/>
        </w:rPr>
      </w:pPr>
      <w:r w:rsidRPr="007A65BA">
        <w:rPr>
          <w:sz w:val="28"/>
          <w:szCs w:val="28"/>
        </w:rPr>
        <w:t>фиксация должностным лицом Ространснадзора при рассмотрении декларации безопасности поднадзорного гидротехнического сооружения превышения по трем или более критериям безопасности гидротехнического сооружения предельных значений количественных показателей состояния гидротехнического сооружения, соответствующих допустимому уровню риска аварии гидротехнического сооружения.</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Установлены формы документов, применяемых при аккредитации органов по сертификации и испытательных лабораторий (центров) в области космической деятельности и аттестации экспертов по аккредитации в области космической деятельности</w:t>
      </w:r>
    </w:p>
    <w:p w:rsidR="007A65BA" w:rsidRPr="007A65BA" w:rsidRDefault="007A65BA" w:rsidP="007A65BA">
      <w:pPr>
        <w:pStyle w:val="ConsPlusNormal"/>
        <w:ind w:firstLine="709"/>
        <w:jc w:val="both"/>
        <w:rPr>
          <w:sz w:val="28"/>
          <w:szCs w:val="28"/>
        </w:rPr>
      </w:pPr>
      <w:r w:rsidRPr="007A65BA">
        <w:rPr>
          <w:sz w:val="28"/>
          <w:szCs w:val="28"/>
        </w:rPr>
        <w:t>Приведены формы актов, заключений решений (всего 19 позиций).</w:t>
      </w:r>
    </w:p>
    <w:p w:rsidR="007A65BA" w:rsidRDefault="007A65BA" w:rsidP="007A65BA">
      <w:pPr>
        <w:pStyle w:val="ConsPlusNormal"/>
        <w:ind w:firstLine="709"/>
        <w:jc w:val="both"/>
        <w:rPr>
          <w:sz w:val="28"/>
          <w:szCs w:val="28"/>
        </w:rPr>
      </w:pPr>
      <w:r w:rsidRPr="007A65BA">
        <w:rPr>
          <w:sz w:val="28"/>
          <w:szCs w:val="28"/>
        </w:rPr>
        <w:t>Настоящий приказ действует до 1 сентября 2030 года.</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 xml:space="preserve">Дополнен перечень индикаторов риска нарушения обязательных требований при осуществлении федерального государственного земельного контроля (надзора) в отношении земель сельскохозяйственного назначения и </w:t>
      </w:r>
      <w:proofErr w:type="spellStart"/>
      <w:r w:rsidRPr="007A65BA">
        <w:rPr>
          <w:b/>
          <w:bCs/>
          <w:sz w:val="28"/>
          <w:szCs w:val="28"/>
        </w:rPr>
        <w:t>виноградопригодных</w:t>
      </w:r>
      <w:proofErr w:type="spellEnd"/>
      <w:r w:rsidRPr="007A65BA">
        <w:rPr>
          <w:b/>
          <w:bCs/>
          <w:sz w:val="28"/>
          <w:szCs w:val="28"/>
        </w:rPr>
        <w:t xml:space="preserve"> земель</w:t>
      </w:r>
    </w:p>
    <w:p w:rsidR="007A65BA" w:rsidRDefault="007A65BA" w:rsidP="007A65BA">
      <w:pPr>
        <w:pStyle w:val="ConsPlusNormal"/>
        <w:ind w:firstLine="709"/>
        <w:jc w:val="both"/>
        <w:rPr>
          <w:sz w:val="28"/>
          <w:szCs w:val="28"/>
        </w:rPr>
      </w:pPr>
      <w:r w:rsidRPr="007A65BA">
        <w:rPr>
          <w:sz w:val="28"/>
          <w:szCs w:val="28"/>
        </w:rPr>
        <w:lastRenderedPageBreak/>
        <w:t>Таким индикатором является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прослеживаемости зерна и продуктов переработки зерна.</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 xml:space="preserve">Дополнен перечень индикаторов риска нарушения обязательных требований, используемых при осуществлении федерального государственного контроля (надзора) в области безопасного обращения с пестицидами и </w:t>
      </w:r>
      <w:proofErr w:type="spellStart"/>
      <w:r w:rsidRPr="007A65BA">
        <w:rPr>
          <w:b/>
          <w:bCs/>
          <w:sz w:val="28"/>
          <w:szCs w:val="28"/>
        </w:rPr>
        <w:t>агрохимикатами</w:t>
      </w:r>
      <w:proofErr w:type="spellEnd"/>
    </w:p>
    <w:p w:rsidR="007A65BA" w:rsidRPr="007A65BA" w:rsidRDefault="007A65BA" w:rsidP="007A65BA">
      <w:pPr>
        <w:pStyle w:val="ConsPlusNormal"/>
        <w:ind w:firstLine="709"/>
        <w:jc w:val="both"/>
        <w:rPr>
          <w:sz w:val="28"/>
          <w:szCs w:val="28"/>
        </w:rPr>
      </w:pPr>
      <w:r w:rsidRPr="007A65BA">
        <w:rPr>
          <w:sz w:val="28"/>
          <w:szCs w:val="28"/>
        </w:rPr>
        <w:t>Таким индикатором является в числе прочего выявление признаков химического повреждения (в том числе изменения окраски, линейных размеров, деформации листьев и побегов) сорных растений не менее чем на 50% от общей площади земельного участка контролируемого лица при одновременном соблюдении следующих условий:</w:t>
      </w:r>
    </w:p>
    <w:p w:rsidR="007A65BA" w:rsidRPr="007A65BA" w:rsidRDefault="007A65BA" w:rsidP="007A65BA">
      <w:pPr>
        <w:pStyle w:val="ConsPlusNormal"/>
        <w:ind w:firstLine="709"/>
        <w:jc w:val="both"/>
        <w:rPr>
          <w:sz w:val="28"/>
          <w:szCs w:val="28"/>
        </w:rPr>
      </w:pPr>
      <w:r w:rsidRPr="007A65BA">
        <w:rPr>
          <w:sz w:val="28"/>
          <w:szCs w:val="28"/>
        </w:rPr>
        <w:t>отсутствие указанных признаков химического повреждения на сельскохозяйственной культуре, которая согласно Единой федеральной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выращивается на данном земельном участке;</w:t>
      </w:r>
    </w:p>
    <w:p w:rsidR="007A65BA" w:rsidRDefault="007A65BA" w:rsidP="007A65BA">
      <w:pPr>
        <w:pStyle w:val="ConsPlusNormal"/>
        <w:ind w:firstLine="709"/>
        <w:jc w:val="both"/>
        <w:rPr>
          <w:sz w:val="28"/>
          <w:szCs w:val="28"/>
        </w:rPr>
      </w:pPr>
      <w:r w:rsidRPr="007A65BA">
        <w:rPr>
          <w:sz w:val="28"/>
          <w:szCs w:val="28"/>
        </w:rPr>
        <w:t xml:space="preserve">отсутствие во ФГИС прослеживаемости пестицидов и </w:t>
      </w:r>
      <w:proofErr w:type="spellStart"/>
      <w:r w:rsidRPr="007A65BA">
        <w:rPr>
          <w:sz w:val="28"/>
          <w:szCs w:val="28"/>
        </w:rPr>
        <w:t>агрохимикатов</w:t>
      </w:r>
      <w:proofErr w:type="spellEnd"/>
      <w:r w:rsidRPr="007A65BA">
        <w:rPr>
          <w:sz w:val="28"/>
          <w:szCs w:val="28"/>
        </w:rPr>
        <w:t xml:space="preserve"> в течение 6 месяцев, предшествующих дате выявления указанных признаков химического повреждения сорных растений, информации о применении пестицидов на данном земельном участке.</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До 31 декабря 2025 года включительно продлен срок действия приказа МВД России от 28.06.2022 N 468, которым утвержден административный регламент осуществления федерального государственного контроля (надзора) в сфере миграции</w:t>
      </w:r>
    </w:p>
    <w:p w:rsidR="007A65BA" w:rsidRDefault="007A65BA" w:rsidP="007A65BA">
      <w:pPr>
        <w:pStyle w:val="ConsPlusNormal"/>
        <w:ind w:firstLine="709"/>
        <w:jc w:val="both"/>
        <w:rPr>
          <w:sz w:val="28"/>
          <w:szCs w:val="28"/>
        </w:rPr>
      </w:pPr>
      <w:r w:rsidRPr="007A65BA">
        <w:rPr>
          <w:sz w:val="28"/>
          <w:szCs w:val="28"/>
        </w:rPr>
        <w:t xml:space="preserve">Предметом государственного контроля (надзора) является соответствие деятельности юридических лиц, индивидуальных предпринимателей, у которых возникают обязанности, связанные с привлечением иностранных граждан и лиц без гражданства к трудовой деятельности на территории РФ, обеспечением соблюдения приглашенным иностранным гражданином порядка пребывания (проживания) в РФ, осуществлением миграционного учета, требованиям в сфере </w:t>
      </w:r>
      <w:r w:rsidRPr="007A65BA">
        <w:rPr>
          <w:sz w:val="28"/>
          <w:szCs w:val="28"/>
        </w:rPr>
        <w:lastRenderedPageBreak/>
        <w:t>миграции.</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Утверждена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за обращением медицинских изделий в 2025 году</w:t>
      </w:r>
    </w:p>
    <w:p w:rsidR="007A65BA" w:rsidRPr="007A65BA" w:rsidRDefault="007A65BA" w:rsidP="007A65BA">
      <w:pPr>
        <w:pStyle w:val="ConsPlusNormal"/>
        <w:ind w:firstLine="709"/>
        <w:jc w:val="both"/>
        <w:rPr>
          <w:sz w:val="28"/>
          <w:szCs w:val="28"/>
        </w:rPr>
      </w:pPr>
      <w:r w:rsidRPr="007A65BA">
        <w:rPr>
          <w:sz w:val="28"/>
          <w:szCs w:val="28"/>
        </w:rPr>
        <w:t>Отмечается, в частности, что главной задачей Росздравнадзора при осуществлении госконтроля является переориентация контрольной деятельности на объекты повышенного риска.</w:t>
      </w:r>
    </w:p>
    <w:p w:rsidR="007A65BA" w:rsidRPr="007A65BA" w:rsidRDefault="007A65BA" w:rsidP="007A65BA">
      <w:pPr>
        <w:pStyle w:val="ConsPlusNormal"/>
        <w:ind w:firstLine="709"/>
        <w:jc w:val="both"/>
        <w:rPr>
          <w:sz w:val="28"/>
          <w:szCs w:val="28"/>
        </w:rPr>
      </w:pPr>
      <w:r w:rsidRPr="007A65BA">
        <w:rPr>
          <w:sz w:val="28"/>
          <w:szCs w:val="28"/>
        </w:rPr>
        <w:t>Главными приоритетами для Росздравнадзора на 2025 год остаются:</w:t>
      </w:r>
    </w:p>
    <w:p w:rsidR="007A65BA" w:rsidRPr="007A65BA" w:rsidRDefault="007A65BA" w:rsidP="007A65BA">
      <w:pPr>
        <w:pStyle w:val="ConsPlusNormal"/>
        <w:ind w:firstLine="709"/>
        <w:jc w:val="both"/>
        <w:rPr>
          <w:sz w:val="28"/>
          <w:szCs w:val="28"/>
        </w:rPr>
      </w:pPr>
      <w:r w:rsidRPr="007A65BA">
        <w:rPr>
          <w:sz w:val="28"/>
          <w:szCs w:val="28"/>
        </w:rPr>
        <w:t>повышение эффективности и результативности федерального госконтроля (надзора);</w:t>
      </w:r>
    </w:p>
    <w:p w:rsidR="007A65BA" w:rsidRPr="007A65BA" w:rsidRDefault="007A65BA" w:rsidP="007A65BA">
      <w:pPr>
        <w:pStyle w:val="ConsPlusNormal"/>
        <w:ind w:firstLine="709"/>
        <w:jc w:val="both"/>
        <w:rPr>
          <w:sz w:val="28"/>
          <w:szCs w:val="28"/>
        </w:rPr>
      </w:pPr>
      <w:r w:rsidRPr="007A65BA">
        <w:rPr>
          <w:sz w:val="28"/>
          <w:szCs w:val="28"/>
        </w:rPr>
        <w:t>эффективная защита прав граждан в целях оказания качественной, доступной и безопасной медицинской помощи при применении (эксплуатации) медицинских изделий в регионах;</w:t>
      </w:r>
    </w:p>
    <w:p w:rsidR="007A65BA" w:rsidRPr="007A65BA" w:rsidRDefault="007A65BA" w:rsidP="007A65BA">
      <w:pPr>
        <w:pStyle w:val="ConsPlusNormal"/>
        <w:ind w:firstLine="709"/>
        <w:jc w:val="both"/>
        <w:rPr>
          <w:sz w:val="28"/>
          <w:szCs w:val="28"/>
        </w:rPr>
      </w:pPr>
      <w:r w:rsidRPr="007A65BA">
        <w:rPr>
          <w:sz w:val="28"/>
          <w:szCs w:val="28"/>
        </w:rPr>
        <w:t>обеспечение качества и безопасности медицинских изделий;</w:t>
      </w:r>
    </w:p>
    <w:p w:rsidR="007A65BA" w:rsidRDefault="007A65BA" w:rsidP="007A65BA">
      <w:pPr>
        <w:pStyle w:val="ConsPlusNormal"/>
        <w:ind w:firstLine="709"/>
        <w:jc w:val="both"/>
        <w:rPr>
          <w:sz w:val="28"/>
          <w:szCs w:val="28"/>
        </w:rPr>
      </w:pPr>
      <w:r w:rsidRPr="007A65BA">
        <w:rPr>
          <w:sz w:val="28"/>
          <w:szCs w:val="28"/>
        </w:rPr>
        <w:t>усиление роли профилактических мероприятий в контрольной (надзорной) деятельности.</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Утверждены методические рекомендации по проведению проверок исполнения бюджетных полномочий по администрированию доходов федерального бюджета (бюджета субъекта РФ, местного бюджета и бюджета ГВБФ РФ)</w:t>
      </w:r>
    </w:p>
    <w:p w:rsidR="007A65BA" w:rsidRDefault="007A65BA" w:rsidP="007A65BA">
      <w:pPr>
        <w:pStyle w:val="ConsPlusNormal"/>
        <w:ind w:firstLine="709"/>
        <w:jc w:val="both"/>
        <w:rPr>
          <w:sz w:val="28"/>
          <w:szCs w:val="28"/>
        </w:rPr>
      </w:pPr>
      <w:r w:rsidRPr="007A65BA">
        <w:rPr>
          <w:sz w:val="28"/>
          <w:szCs w:val="28"/>
        </w:rPr>
        <w:t>Методические рекомендации направлены на оказание практической помощи органам внутреннего государственного (муниципального) финансового контроля при проведении проверок, обследований при администрировании главными администраторами (администраторами) доходов бюджета, установленных статьей 41 БК РФ видов доходов бюджетов.</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Утверждены методические рекомендации по осуществлению внутреннего финансового контроля в отношении субсидий на выполнение государственного (муниципального) задания, в том числе в рамках исполнения социального заказа на оказание услуг в социальной сфере, и их отражения в учете и отчетности</w:t>
      </w:r>
    </w:p>
    <w:p w:rsidR="007A65BA" w:rsidRDefault="007A65BA" w:rsidP="007A65BA">
      <w:pPr>
        <w:pStyle w:val="ConsPlusNormal"/>
        <w:ind w:firstLine="709"/>
        <w:jc w:val="both"/>
        <w:rPr>
          <w:sz w:val="28"/>
          <w:szCs w:val="28"/>
        </w:rPr>
      </w:pPr>
      <w:r w:rsidRPr="007A65BA">
        <w:rPr>
          <w:sz w:val="28"/>
          <w:szCs w:val="28"/>
        </w:rPr>
        <w:t xml:space="preserve">Методические рекомендации направлены на оказание практической помощи органам контроля при проведении проверок предоставления и (или) использования субсидий, предоставленных бюджетным и автономным </w:t>
      </w:r>
      <w:r w:rsidRPr="007A65BA">
        <w:rPr>
          <w:sz w:val="28"/>
          <w:szCs w:val="28"/>
        </w:rPr>
        <w:lastRenderedPageBreak/>
        <w:t>учреждениям в соответствии с абзацем первым пункта 1 статьи 78.1 БК РФ.</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На 2025 год утверждена программа профилактики рисков причинения вреда (ущерба) охраняемым законом ценностям по федеральному государственному контролю за соблюдением законодательства об архивном деле</w:t>
      </w:r>
    </w:p>
    <w:p w:rsidR="007A65BA" w:rsidRDefault="007A65BA" w:rsidP="007A65BA">
      <w:pPr>
        <w:pStyle w:val="ConsPlusNormal"/>
        <w:ind w:firstLine="709"/>
        <w:jc w:val="both"/>
        <w:rPr>
          <w:sz w:val="28"/>
          <w:szCs w:val="28"/>
        </w:rPr>
      </w:pPr>
      <w:r w:rsidRPr="007A65BA">
        <w:rPr>
          <w:sz w:val="28"/>
          <w:szCs w:val="28"/>
        </w:rPr>
        <w:t>Определен круг контролируемых лиц, приведены примеры типичных нарушений обязательных требований, предусмотрены предмет и объекты федерального государственного контроля, цели и задачи программы профилактики, перечень профилактических мероприятий, сроки (периодичность) их проведения.</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 xml:space="preserve">Обновлен перечень актов для оценки соблюдения обязательных требований к проведению экзамена по русскому языку как иностранному, истории России и </w:t>
      </w:r>
      <w:proofErr w:type="gramStart"/>
      <w:r w:rsidRPr="007A65BA">
        <w:rPr>
          <w:b/>
          <w:bCs/>
          <w:sz w:val="28"/>
          <w:szCs w:val="28"/>
        </w:rPr>
        <w:t>основам законодательства РФ</w:t>
      </w:r>
      <w:proofErr w:type="gramEnd"/>
      <w:r w:rsidRPr="007A65BA">
        <w:rPr>
          <w:b/>
          <w:bCs/>
          <w:sz w:val="28"/>
          <w:szCs w:val="28"/>
        </w:rPr>
        <w:t xml:space="preserve"> и выдаче иностранным гражданам сертификата</w:t>
      </w:r>
    </w:p>
    <w:p w:rsidR="007A65BA" w:rsidRDefault="007A65BA" w:rsidP="007A65BA">
      <w:pPr>
        <w:pStyle w:val="ConsPlusNormal"/>
        <w:ind w:firstLine="709"/>
        <w:jc w:val="both"/>
        <w:rPr>
          <w:sz w:val="28"/>
          <w:szCs w:val="28"/>
        </w:rPr>
      </w:pPr>
      <w:r w:rsidRPr="007A65BA">
        <w:rPr>
          <w:sz w:val="28"/>
          <w:szCs w:val="28"/>
        </w:rPr>
        <w:t>Перечень содержит в том числе: гиперссылки на текст нормативного правового акта на официальном интернет-портале правовой информации; реквизиты структурных единиц нормативного правового акта, содержащих обязательные требования; категории лиц, обязанных соблюдать такие обязательные требования; вид экономической деятельности лиц, обязанных соблюдать установленные обязательные требования, в соответствии с ОКВЭД;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В Госдуму внесен законопроект, позволяющий юрлицам иметь в качестве единственного учредителя (участника) другое хозяйственное общество, состоящее из одного лица</w:t>
      </w:r>
    </w:p>
    <w:p w:rsidR="007A65BA" w:rsidRPr="007A65BA" w:rsidRDefault="007A65BA" w:rsidP="007A65BA">
      <w:pPr>
        <w:pStyle w:val="ConsPlusNormal"/>
        <w:ind w:firstLine="709"/>
        <w:jc w:val="both"/>
        <w:rPr>
          <w:sz w:val="28"/>
          <w:szCs w:val="28"/>
        </w:rPr>
      </w:pPr>
      <w:r w:rsidRPr="007A65BA">
        <w:rPr>
          <w:sz w:val="28"/>
          <w:szCs w:val="28"/>
        </w:rPr>
        <w:t>Это будет возможно при условии, если функции единоличного исполнительного органа в обществе не выполняет лицо, выполняющее такие функции в его единственном учредителе (участнике), или его единственный учредитель (участник).</w:t>
      </w:r>
    </w:p>
    <w:p w:rsidR="007A65BA" w:rsidRDefault="007A65BA" w:rsidP="007A65BA">
      <w:pPr>
        <w:pStyle w:val="ConsPlusNormal"/>
        <w:ind w:firstLine="709"/>
        <w:jc w:val="both"/>
        <w:rPr>
          <w:sz w:val="28"/>
          <w:szCs w:val="28"/>
        </w:rPr>
      </w:pPr>
      <w:r w:rsidRPr="007A65BA">
        <w:rPr>
          <w:sz w:val="28"/>
          <w:szCs w:val="28"/>
        </w:rPr>
        <w:t>В пояснительной записке к законопроекту отмечено, что планируемые изменения позволят ограничить число создаваемых юридических лиц в рамках соответствующих цепочек юридических лиц только теми случаями, когда это необходимо именно для более удобного структурирования бизнеса.</w:t>
      </w:r>
    </w:p>
    <w:p w:rsidR="007A65BA" w:rsidRDefault="007A65BA" w:rsidP="007A65BA">
      <w:pPr>
        <w:pStyle w:val="ConsPlusNormal"/>
        <w:jc w:val="both"/>
        <w:rPr>
          <w:sz w:val="28"/>
          <w:szCs w:val="28"/>
        </w:rPr>
      </w:pPr>
      <w:r>
        <w:rPr>
          <w:sz w:val="28"/>
          <w:szCs w:val="28"/>
        </w:rPr>
        <w:lastRenderedPageBreak/>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До 31 декабря 2025 г. продлен особый порядок распоряжения имуществом, обращенным в собственность государства</w:t>
      </w:r>
    </w:p>
    <w:p w:rsidR="007A65BA" w:rsidRPr="007A65BA" w:rsidRDefault="007A65BA" w:rsidP="007A65BA">
      <w:pPr>
        <w:pStyle w:val="ConsPlusNormal"/>
        <w:ind w:firstLine="709"/>
        <w:jc w:val="both"/>
        <w:rPr>
          <w:sz w:val="28"/>
          <w:szCs w:val="28"/>
        </w:rPr>
      </w:pPr>
      <w:r w:rsidRPr="007A65BA">
        <w:rPr>
          <w:sz w:val="28"/>
          <w:szCs w:val="28"/>
        </w:rPr>
        <w:t>Согласно порядку Росимущество, таможенные органы и органы принудительного исполнения осуществляют передачу движимого имущества, обращенного в собственность государства: Минобороны - в целях обеспечения потребностей Вооруженных Сил РФ, других войск, воинских формирований и органов; МЧС - для обеспечения потребностей его территориальных органов, спасательных воинских формирований, находящихся в его ведении организаций, привлекаемых к проведению аварийно-спасательных и поисково-спасательных работ, а также для осуществления мер по чрезвычайному гуманитарному реагированию; Общероссийскому общественному движению "НАРОДНЫЙ ФРОНТ "ЗА РОССИЮ" - для безвозмездной передачи имущества гражданам и организациям на территориях новых регионов в гуманитарных целях.</w:t>
      </w:r>
    </w:p>
    <w:p w:rsidR="007A65BA" w:rsidRDefault="007A65BA" w:rsidP="007A65BA">
      <w:pPr>
        <w:pStyle w:val="ConsPlusNormal"/>
        <w:ind w:firstLine="709"/>
        <w:jc w:val="both"/>
        <w:rPr>
          <w:sz w:val="28"/>
          <w:szCs w:val="28"/>
        </w:rPr>
      </w:pPr>
      <w:r w:rsidRPr="007A65BA">
        <w:rPr>
          <w:sz w:val="28"/>
          <w:szCs w:val="28"/>
        </w:rPr>
        <w:t>Кроме того, в перечень указанного движимого имущества, обращенного в собственность государства для последующей передачи, включены одежда, обувь и текстильные изделия.</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Уточняются требования к электронным площадкам для проведения в электронной форме торгов по продаже имущества должников в ходе банкротства</w:t>
      </w:r>
    </w:p>
    <w:p w:rsidR="007A65BA" w:rsidRDefault="007A65BA" w:rsidP="007A65BA">
      <w:pPr>
        <w:pStyle w:val="ConsPlusNormal"/>
        <w:ind w:firstLine="709"/>
        <w:jc w:val="both"/>
        <w:rPr>
          <w:sz w:val="28"/>
          <w:szCs w:val="28"/>
        </w:rPr>
      </w:pPr>
      <w:r w:rsidRPr="007A65BA">
        <w:rPr>
          <w:sz w:val="28"/>
          <w:szCs w:val="28"/>
        </w:rPr>
        <w:t xml:space="preserve">Исключается положение, устанавливающее необходимость предоставления доступа к размещаемой на электронной площадке информации посредством </w:t>
      </w:r>
      <w:proofErr w:type="spellStart"/>
      <w:r w:rsidRPr="007A65BA">
        <w:rPr>
          <w:sz w:val="28"/>
          <w:szCs w:val="28"/>
        </w:rPr>
        <w:t>Internet</w:t>
      </w:r>
      <w:proofErr w:type="spellEnd"/>
      <w:r w:rsidRPr="007A65BA">
        <w:rPr>
          <w:sz w:val="28"/>
          <w:szCs w:val="28"/>
        </w:rPr>
        <w:t xml:space="preserve"> </w:t>
      </w:r>
      <w:proofErr w:type="spellStart"/>
      <w:r w:rsidRPr="007A65BA">
        <w:rPr>
          <w:sz w:val="28"/>
          <w:szCs w:val="28"/>
        </w:rPr>
        <w:t>Explorer</w:t>
      </w:r>
      <w:proofErr w:type="spellEnd"/>
      <w:r w:rsidRPr="007A65BA">
        <w:rPr>
          <w:sz w:val="28"/>
          <w:szCs w:val="28"/>
        </w:rPr>
        <w:t xml:space="preserve"> 8.0 и выше, </w:t>
      </w:r>
      <w:proofErr w:type="spellStart"/>
      <w:r w:rsidRPr="007A65BA">
        <w:rPr>
          <w:sz w:val="28"/>
          <w:szCs w:val="28"/>
        </w:rPr>
        <w:t>Mozilla</w:t>
      </w:r>
      <w:proofErr w:type="spellEnd"/>
      <w:r w:rsidRPr="007A65BA">
        <w:rPr>
          <w:sz w:val="28"/>
          <w:szCs w:val="28"/>
        </w:rPr>
        <w:t xml:space="preserve"> </w:t>
      </w:r>
      <w:proofErr w:type="spellStart"/>
      <w:r w:rsidRPr="007A65BA">
        <w:rPr>
          <w:sz w:val="28"/>
          <w:szCs w:val="28"/>
        </w:rPr>
        <w:t>FireFox</w:t>
      </w:r>
      <w:proofErr w:type="spellEnd"/>
      <w:r w:rsidRPr="007A65BA">
        <w:rPr>
          <w:sz w:val="28"/>
          <w:szCs w:val="28"/>
        </w:rPr>
        <w:t xml:space="preserve"> 12.0 и выше, </w:t>
      </w:r>
      <w:proofErr w:type="spellStart"/>
      <w:r w:rsidRPr="007A65BA">
        <w:rPr>
          <w:sz w:val="28"/>
          <w:szCs w:val="28"/>
        </w:rPr>
        <w:t>Google</w:t>
      </w:r>
      <w:proofErr w:type="spellEnd"/>
      <w:r w:rsidRPr="007A65BA">
        <w:rPr>
          <w:sz w:val="28"/>
          <w:szCs w:val="28"/>
        </w:rPr>
        <w:t xml:space="preserve"> </w:t>
      </w:r>
      <w:proofErr w:type="spellStart"/>
      <w:r w:rsidRPr="007A65BA">
        <w:rPr>
          <w:sz w:val="28"/>
          <w:szCs w:val="28"/>
        </w:rPr>
        <w:t>Chrome</w:t>
      </w:r>
      <w:proofErr w:type="spellEnd"/>
      <w:r w:rsidRPr="007A65BA">
        <w:rPr>
          <w:sz w:val="28"/>
          <w:szCs w:val="28"/>
        </w:rPr>
        <w:t xml:space="preserve"> 28.0 и выше, </w:t>
      </w:r>
      <w:proofErr w:type="spellStart"/>
      <w:r w:rsidRPr="007A65BA">
        <w:rPr>
          <w:sz w:val="28"/>
          <w:szCs w:val="28"/>
        </w:rPr>
        <w:t>Opera</w:t>
      </w:r>
      <w:proofErr w:type="spellEnd"/>
      <w:r w:rsidRPr="007A65BA">
        <w:rPr>
          <w:sz w:val="28"/>
          <w:szCs w:val="28"/>
        </w:rPr>
        <w:t xml:space="preserve"> 18.0 и выше, </w:t>
      </w:r>
      <w:proofErr w:type="spellStart"/>
      <w:r w:rsidRPr="007A65BA">
        <w:rPr>
          <w:sz w:val="28"/>
          <w:szCs w:val="28"/>
        </w:rPr>
        <w:t>Safari</w:t>
      </w:r>
      <w:proofErr w:type="spellEnd"/>
      <w:r w:rsidRPr="007A65BA">
        <w:rPr>
          <w:sz w:val="28"/>
          <w:szCs w:val="28"/>
        </w:rPr>
        <w:t xml:space="preserve"> 5.0 и выше.</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Установлен порядок отнесения имущества страховой организации, НПФ и кредитной организации к ликвидному имуществу и определения его достаточности для удовлетворения требований кредиторов</w:t>
      </w:r>
    </w:p>
    <w:p w:rsidR="007A65BA" w:rsidRPr="007A65BA" w:rsidRDefault="007A65BA" w:rsidP="007A65BA">
      <w:pPr>
        <w:pStyle w:val="ConsPlusNormal"/>
        <w:ind w:firstLine="709"/>
        <w:jc w:val="both"/>
        <w:rPr>
          <w:sz w:val="28"/>
          <w:szCs w:val="28"/>
        </w:rPr>
      </w:pPr>
      <w:r w:rsidRPr="007A65BA">
        <w:rPr>
          <w:sz w:val="28"/>
          <w:szCs w:val="28"/>
        </w:rPr>
        <w:t>Конкурсный управляющий относит имущество страховой организации, негосударственного пенсионного фонда, кредитной организации к ликвидному имуществу на основании документов, имеющихся в распоряжении конкурсного управляющего на дату составления им справки о размере обязательств финансовой организации.</w:t>
      </w:r>
    </w:p>
    <w:p w:rsidR="007A65BA" w:rsidRPr="007A65BA" w:rsidRDefault="007A65BA" w:rsidP="007A65BA">
      <w:pPr>
        <w:pStyle w:val="ConsPlusNormal"/>
        <w:ind w:firstLine="709"/>
        <w:jc w:val="both"/>
        <w:rPr>
          <w:sz w:val="28"/>
          <w:szCs w:val="28"/>
        </w:rPr>
      </w:pPr>
      <w:r w:rsidRPr="007A65BA">
        <w:rPr>
          <w:sz w:val="28"/>
          <w:szCs w:val="28"/>
        </w:rPr>
        <w:t xml:space="preserve">Ликвидное имущество финансовой организации определяется конкурсным управляющим как достаточное для удовлетворения требований кредиторов в случае, если балансовая стоимость такого имущества на дату составления справки о размере обязательств равна сумме обязательств финансовой организации, </w:t>
      </w:r>
      <w:r w:rsidRPr="007A65BA">
        <w:rPr>
          <w:sz w:val="28"/>
          <w:szCs w:val="28"/>
        </w:rPr>
        <w:lastRenderedPageBreak/>
        <w:t>указанной в справке о размере обязательств, или превышает ее.</w:t>
      </w:r>
    </w:p>
    <w:p w:rsidR="007A65BA" w:rsidRDefault="007A65BA" w:rsidP="007A65BA">
      <w:pPr>
        <w:pStyle w:val="ConsPlusNormal"/>
        <w:ind w:firstLine="709"/>
        <w:jc w:val="both"/>
        <w:rPr>
          <w:sz w:val="28"/>
          <w:szCs w:val="28"/>
        </w:rPr>
      </w:pPr>
      <w:r w:rsidRPr="007A65BA">
        <w:rPr>
          <w:sz w:val="28"/>
          <w:szCs w:val="28"/>
        </w:rPr>
        <w:t>Настоящее Указание вступает в силу по истечении 10 дней после дня его официального опубликования.</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Рассмотрен вопрос о предоставлении информации в виде справки о лицах, получивших сведения об объекте недвижимости, лицу, за которым ранее было зарегистрировано право собственности или иное вещное право</w:t>
      </w:r>
    </w:p>
    <w:p w:rsidR="007A65BA" w:rsidRPr="007A65BA" w:rsidRDefault="007A65BA" w:rsidP="007A65BA">
      <w:pPr>
        <w:pStyle w:val="ConsPlusNormal"/>
        <w:ind w:firstLine="709"/>
        <w:jc w:val="both"/>
        <w:rPr>
          <w:sz w:val="28"/>
          <w:szCs w:val="28"/>
        </w:rPr>
      </w:pPr>
      <w:r w:rsidRPr="007A65BA">
        <w:rPr>
          <w:sz w:val="28"/>
          <w:szCs w:val="28"/>
        </w:rPr>
        <w:t>Сообщается, что согласно установленному порядку информация о лицах, получивших сведения об объекте недвижимого имущества, права на который зарегистрированы у правообладателя, может быть предоставлена в течение трех лет с момента поступления запроса.</w:t>
      </w:r>
    </w:p>
    <w:p w:rsidR="007A65BA" w:rsidRPr="007A65BA" w:rsidRDefault="007A65BA" w:rsidP="007A65BA">
      <w:pPr>
        <w:pStyle w:val="ConsPlusNormal"/>
        <w:ind w:firstLine="709"/>
        <w:jc w:val="both"/>
        <w:rPr>
          <w:sz w:val="28"/>
          <w:szCs w:val="28"/>
        </w:rPr>
      </w:pPr>
      <w:r w:rsidRPr="007A65BA">
        <w:rPr>
          <w:sz w:val="28"/>
          <w:szCs w:val="28"/>
        </w:rPr>
        <w:t>Запрет на получение указанной информации лицом, являвшимся в течение предшествующих дате поступления запроса трех лет правообладателем объекта недвижимости, не установлен.</w:t>
      </w:r>
    </w:p>
    <w:p w:rsidR="007A65BA" w:rsidRDefault="007A65BA" w:rsidP="007A65BA">
      <w:pPr>
        <w:pStyle w:val="ConsPlusNormal"/>
        <w:ind w:firstLine="709"/>
        <w:jc w:val="both"/>
        <w:rPr>
          <w:sz w:val="28"/>
          <w:szCs w:val="28"/>
        </w:rPr>
      </w:pPr>
      <w:r w:rsidRPr="007A65BA">
        <w:rPr>
          <w:sz w:val="28"/>
          <w:szCs w:val="28"/>
        </w:rPr>
        <w:t>По мнению ведомства, информация может быть предоставлена исключительно за тот период времени (в пределах указанных трех лет), когда данное лицо являлось правообладателем запрашиваемого объекта недвижимости.</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p>
    <w:p w:rsidR="007A65BA" w:rsidRPr="007A65BA" w:rsidRDefault="007A65BA" w:rsidP="007A65BA">
      <w:pPr>
        <w:pStyle w:val="ConsPlusNormal"/>
        <w:ind w:firstLine="709"/>
        <w:jc w:val="both"/>
        <w:rPr>
          <w:sz w:val="28"/>
          <w:szCs w:val="28"/>
        </w:rPr>
      </w:pPr>
    </w:p>
    <w:p w:rsidR="007A65BA" w:rsidRPr="007A65BA" w:rsidRDefault="007A65BA" w:rsidP="007A65BA">
      <w:pPr>
        <w:pStyle w:val="ConsPlusNormal"/>
        <w:ind w:firstLine="709"/>
        <w:jc w:val="both"/>
        <w:rPr>
          <w:sz w:val="28"/>
          <w:szCs w:val="28"/>
        </w:rPr>
      </w:pPr>
      <w:r w:rsidRPr="007A65BA">
        <w:rPr>
          <w:b/>
          <w:bCs/>
          <w:sz w:val="28"/>
          <w:szCs w:val="28"/>
        </w:rPr>
        <w:t>Даны разъяснения по вопросу предоставления заявления о государственной регистрации прекращения аренды, когда в результате перехода права на объект недвижимости, являющийся предметом договора аренды, происходит совпадение должника и кредитора в одном лице</w:t>
      </w:r>
    </w:p>
    <w:p w:rsidR="007A65BA" w:rsidRDefault="007A65BA" w:rsidP="007A65BA">
      <w:pPr>
        <w:pStyle w:val="ConsPlusNormal"/>
        <w:ind w:firstLine="709"/>
        <w:jc w:val="both"/>
        <w:rPr>
          <w:sz w:val="28"/>
          <w:szCs w:val="28"/>
        </w:rPr>
      </w:pPr>
      <w:r w:rsidRPr="007A65BA">
        <w:rPr>
          <w:sz w:val="28"/>
          <w:szCs w:val="28"/>
        </w:rPr>
        <w:t>По мнению Росреестра, поскольку в случае выкупа арендатором арендованного объекта недвижимости к нему переходит право собственности на этот объект недвижимости и арендное обязательство прекращается на основании положений статьи 413 ГК РФ, содержащиеся в ЕГРН записи о государственной регистрации договора аренды, ограничения (обременения) права в виде аренды могут быть погашены без каких-либо заявлений.</w:t>
      </w:r>
    </w:p>
    <w:p w:rsidR="007A65BA" w:rsidRDefault="007A65BA" w:rsidP="007A65BA">
      <w:pPr>
        <w:pStyle w:val="ConsPlusNormal"/>
        <w:jc w:val="both"/>
        <w:rPr>
          <w:sz w:val="28"/>
          <w:szCs w:val="28"/>
        </w:rPr>
      </w:pPr>
    </w:p>
    <w:p w:rsidR="007A65BA" w:rsidRDefault="007A65BA" w:rsidP="007A65BA">
      <w:pPr>
        <w:pStyle w:val="ConsPlusNormal"/>
        <w:jc w:val="both"/>
        <w:rPr>
          <w:sz w:val="28"/>
          <w:szCs w:val="28"/>
        </w:rPr>
      </w:pPr>
      <w:r>
        <w:rPr>
          <w:sz w:val="28"/>
          <w:szCs w:val="28"/>
        </w:rPr>
        <w:t>Помощник прокурора</w:t>
      </w:r>
    </w:p>
    <w:p w:rsidR="007A65BA" w:rsidRPr="007A65BA" w:rsidRDefault="007A65BA" w:rsidP="007A65BA">
      <w:pPr>
        <w:pStyle w:val="ConsPlusNormal"/>
        <w:jc w:val="both"/>
        <w:rPr>
          <w:sz w:val="28"/>
          <w:szCs w:val="28"/>
        </w:rPr>
      </w:pPr>
      <w:r>
        <w:rPr>
          <w:sz w:val="28"/>
          <w:szCs w:val="28"/>
        </w:rPr>
        <w:t>Маловишерского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Шутов</w:t>
      </w:r>
      <w:bookmarkStart w:id="0" w:name="_GoBack"/>
      <w:bookmarkEnd w:id="0"/>
    </w:p>
    <w:sectPr w:rsidR="007A65BA" w:rsidRPr="007A65BA" w:rsidSect="00A42F05">
      <w:pgSz w:w="11906" w:h="16838"/>
      <w:pgMar w:top="1134" w:right="707" w:bottom="851" w:left="1418" w:header="680" w:footer="9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469" w:rsidRDefault="00A47469" w:rsidP="00466B1C">
      <w:pPr>
        <w:spacing w:after="0" w:line="240" w:lineRule="auto"/>
      </w:pPr>
      <w:r>
        <w:separator/>
      </w:r>
    </w:p>
  </w:endnote>
  <w:endnote w:type="continuationSeparator" w:id="0">
    <w:p w:rsidR="00A47469" w:rsidRDefault="00A47469"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469" w:rsidRDefault="00A47469" w:rsidP="00466B1C">
      <w:pPr>
        <w:spacing w:after="0" w:line="240" w:lineRule="auto"/>
      </w:pPr>
      <w:r>
        <w:separator/>
      </w:r>
    </w:p>
  </w:footnote>
  <w:footnote w:type="continuationSeparator" w:id="0">
    <w:p w:rsidR="00A47469" w:rsidRDefault="00A47469" w:rsidP="00466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E35"/>
    <w:multiLevelType w:val="multilevel"/>
    <w:tmpl w:val="9202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004B"/>
    <w:rsid w:val="00002B86"/>
    <w:rsid w:val="00013D8F"/>
    <w:rsid w:val="0002506C"/>
    <w:rsid w:val="00025A34"/>
    <w:rsid w:val="00026295"/>
    <w:rsid w:val="00026D1C"/>
    <w:rsid w:val="00032020"/>
    <w:rsid w:val="0003665D"/>
    <w:rsid w:val="00036C1F"/>
    <w:rsid w:val="000374D8"/>
    <w:rsid w:val="000431AA"/>
    <w:rsid w:val="00045EEF"/>
    <w:rsid w:val="00050051"/>
    <w:rsid w:val="00055A52"/>
    <w:rsid w:val="000654BF"/>
    <w:rsid w:val="00067039"/>
    <w:rsid w:val="000742B5"/>
    <w:rsid w:val="00074707"/>
    <w:rsid w:val="00076177"/>
    <w:rsid w:val="000807E7"/>
    <w:rsid w:val="0008292C"/>
    <w:rsid w:val="00085A49"/>
    <w:rsid w:val="00092AB2"/>
    <w:rsid w:val="00094C89"/>
    <w:rsid w:val="00095253"/>
    <w:rsid w:val="00097541"/>
    <w:rsid w:val="000A2EC3"/>
    <w:rsid w:val="000B04C7"/>
    <w:rsid w:val="000B44F4"/>
    <w:rsid w:val="000B672C"/>
    <w:rsid w:val="000C005C"/>
    <w:rsid w:val="000C1C03"/>
    <w:rsid w:val="000C383D"/>
    <w:rsid w:val="000C463A"/>
    <w:rsid w:val="000C54B0"/>
    <w:rsid w:val="000D15A8"/>
    <w:rsid w:val="000D3B12"/>
    <w:rsid w:val="000D4346"/>
    <w:rsid w:val="000D453E"/>
    <w:rsid w:val="000D5B6E"/>
    <w:rsid w:val="000D6719"/>
    <w:rsid w:val="000D74B7"/>
    <w:rsid w:val="000E46B4"/>
    <w:rsid w:val="000F129F"/>
    <w:rsid w:val="000F242D"/>
    <w:rsid w:val="000F7AC9"/>
    <w:rsid w:val="00100F3E"/>
    <w:rsid w:val="001037CF"/>
    <w:rsid w:val="001041A9"/>
    <w:rsid w:val="00105BA4"/>
    <w:rsid w:val="001079D7"/>
    <w:rsid w:val="00112B84"/>
    <w:rsid w:val="00112E6E"/>
    <w:rsid w:val="0012198A"/>
    <w:rsid w:val="00122A2E"/>
    <w:rsid w:val="00126DFD"/>
    <w:rsid w:val="00127E0E"/>
    <w:rsid w:val="001356E4"/>
    <w:rsid w:val="001358F1"/>
    <w:rsid w:val="00135D39"/>
    <w:rsid w:val="0014492C"/>
    <w:rsid w:val="001511BB"/>
    <w:rsid w:val="001572D5"/>
    <w:rsid w:val="00167170"/>
    <w:rsid w:val="00174A37"/>
    <w:rsid w:val="0018383C"/>
    <w:rsid w:val="001840B7"/>
    <w:rsid w:val="0018600B"/>
    <w:rsid w:val="001A1A53"/>
    <w:rsid w:val="001A3D13"/>
    <w:rsid w:val="001A5E9B"/>
    <w:rsid w:val="001B300C"/>
    <w:rsid w:val="001C2A3A"/>
    <w:rsid w:val="001C46B6"/>
    <w:rsid w:val="001C5C3F"/>
    <w:rsid w:val="001D2C90"/>
    <w:rsid w:val="001E036E"/>
    <w:rsid w:val="001E1693"/>
    <w:rsid w:val="001E3615"/>
    <w:rsid w:val="001F0461"/>
    <w:rsid w:val="001F253D"/>
    <w:rsid w:val="001F4B44"/>
    <w:rsid w:val="001F738B"/>
    <w:rsid w:val="001F774C"/>
    <w:rsid w:val="002029E7"/>
    <w:rsid w:val="002035DD"/>
    <w:rsid w:val="0020375D"/>
    <w:rsid w:val="00204D37"/>
    <w:rsid w:val="002051C3"/>
    <w:rsid w:val="00211449"/>
    <w:rsid w:val="00217EE4"/>
    <w:rsid w:val="00220EFC"/>
    <w:rsid w:val="00232618"/>
    <w:rsid w:val="002371BB"/>
    <w:rsid w:val="00237730"/>
    <w:rsid w:val="0024228B"/>
    <w:rsid w:val="00242814"/>
    <w:rsid w:val="00246023"/>
    <w:rsid w:val="00257414"/>
    <w:rsid w:val="00262641"/>
    <w:rsid w:val="0026279C"/>
    <w:rsid w:val="0026312D"/>
    <w:rsid w:val="0027265D"/>
    <w:rsid w:val="00273B77"/>
    <w:rsid w:val="00277ACB"/>
    <w:rsid w:val="0028330B"/>
    <w:rsid w:val="00290750"/>
    <w:rsid w:val="002908B8"/>
    <w:rsid w:val="002912AE"/>
    <w:rsid w:val="002924ED"/>
    <w:rsid w:val="00296E37"/>
    <w:rsid w:val="002A21F6"/>
    <w:rsid w:val="002A27C4"/>
    <w:rsid w:val="002B05C5"/>
    <w:rsid w:val="002D0D23"/>
    <w:rsid w:val="002D395A"/>
    <w:rsid w:val="002D3E32"/>
    <w:rsid w:val="002D45E0"/>
    <w:rsid w:val="002E0A1D"/>
    <w:rsid w:val="002E1837"/>
    <w:rsid w:val="00301280"/>
    <w:rsid w:val="00304638"/>
    <w:rsid w:val="00306880"/>
    <w:rsid w:val="00307676"/>
    <w:rsid w:val="00310BE1"/>
    <w:rsid w:val="0031237F"/>
    <w:rsid w:val="00317DBF"/>
    <w:rsid w:val="003208EC"/>
    <w:rsid w:val="00321671"/>
    <w:rsid w:val="00322983"/>
    <w:rsid w:val="00327890"/>
    <w:rsid w:val="00327C32"/>
    <w:rsid w:val="00336213"/>
    <w:rsid w:val="00336650"/>
    <w:rsid w:val="00346CBB"/>
    <w:rsid w:val="003474E2"/>
    <w:rsid w:val="003663BF"/>
    <w:rsid w:val="003720E3"/>
    <w:rsid w:val="00380885"/>
    <w:rsid w:val="0038562A"/>
    <w:rsid w:val="003913CD"/>
    <w:rsid w:val="00393AF6"/>
    <w:rsid w:val="003A2194"/>
    <w:rsid w:val="003B0766"/>
    <w:rsid w:val="003B1975"/>
    <w:rsid w:val="003C1CD2"/>
    <w:rsid w:val="003D36B8"/>
    <w:rsid w:val="003D620D"/>
    <w:rsid w:val="003E3297"/>
    <w:rsid w:val="003F0E22"/>
    <w:rsid w:val="003F27C8"/>
    <w:rsid w:val="00405260"/>
    <w:rsid w:val="004153A6"/>
    <w:rsid w:val="0041542F"/>
    <w:rsid w:val="00416E48"/>
    <w:rsid w:val="00423777"/>
    <w:rsid w:val="00423FD4"/>
    <w:rsid w:val="00423FE7"/>
    <w:rsid w:val="0043117E"/>
    <w:rsid w:val="004347B1"/>
    <w:rsid w:val="004352D0"/>
    <w:rsid w:val="00441B56"/>
    <w:rsid w:val="00443678"/>
    <w:rsid w:val="00443812"/>
    <w:rsid w:val="0045257C"/>
    <w:rsid w:val="004617E1"/>
    <w:rsid w:val="0046660E"/>
    <w:rsid w:val="004666BB"/>
    <w:rsid w:val="00466B1C"/>
    <w:rsid w:val="00470882"/>
    <w:rsid w:val="00475C00"/>
    <w:rsid w:val="004771BE"/>
    <w:rsid w:val="004825C8"/>
    <w:rsid w:val="00483B86"/>
    <w:rsid w:val="00483DDC"/>
    <w:rsid w:val="00487286"/>
    <w:rsid w:val="004873CA"/>
    <w:rsid w:val="00492123"/>
    <w:rsid w:val="00492891"/>
    <w:rsid w:val="00492B8B"/>
    <w:rsid w:val="004945B3"/>
    <w:rsid w:val="004A1742"/>
    <w:rsid w:val="004A3C2B"/>
    <w:rsid w:val="004B2B2F"/>
    <w:rsid w:val="004B2FD2"/>
    <w:rsid w:val="004C6748"/>
    <w:rsid w:val="004D0529"/>
    <w:rsid w:val="004D174A"/>
    <w:rsid w:val="004D56D0"/>
    <w:rsid w:val="004E1702"/>
    <w:rsid w:val="004E1708"/>
    <w:rsid w:val="004E1777"/>
    <w:rsid w:val="004E6694"/>
    <w:rsid w:val="004E689D"/>
    <w:rsid w:val="004F0BA0"/>
    <w:rsid w:val="004F14AF"/>
    <w:rsid w:val="004F1531"/>
    <w:rsid w:val="004F32EF"/>
    <w:rsid w:val="004F5322"/>
    <w:rsid w:val="004F60B9"/>
    <w:rsid w:val="004F6109"/>
    <w:rsid w:val="004F6D5F"/>
    <w:rsid w:val="004F79F1"/>
    <w:rsid w:val="00500DD0"/>
    <w:rsid w:val="00521596"/>
    <w:rsid w:val="00521ECE"/>
    <w:rsid w:val="00523D9B"/>
    <w:rsid w:val="00531396"/>
    <w:rsid w:val="005325D7"/>
    <w:rsid w:val="005355A3"/>
    <w:rsid w:val="00541747"/>
    <w:rsid w:val="00547323"/>
    <w:rsid w:val="00547B65"/>
    <w:rsid w:val="00550AB8"/>
    <w:rsid w:val="00550F1C"/>
    <w:rsid w:val="00551AA3"/>
    <w:rsid w:val="00554D41"/>
    <w:rsid w:val="00557A25"/>
    <w:rsid w:val="00561E08"/>
    <w:rsid w:val="00563237"/>
    <w:rsid w:val="00564E85"/>
    <w:rsid w:val="00576BB9"/>
    <w:rsid w:val="005818AF"/>
    <w:rsid w:val="005828C3"/>
    <w:rsid w:val="00583601"/>
    <w:rsid w:val="00585703"/>
    <w:rsid w:val="00593FC3"/>
    <w:rsid w:val="005951D5"/>
    <w:rsid w:val="005971AB"/>
    <w:rsid w:val="005A06C4"/>
    <w:rsid w:val="005A4E03"/>
    <w:rsid w:val="005A66B0"/>
    <w:rsid w:val="005B2B90"/>
    <w:rsid w:val="005B44A2"/>
    <w:rsid w:val="005B6B6A"/>
    <w:rsid w:val="005B7A6B"/>
    <w:rsid w:val="005C0739"/>
    <w:rsid w:val="005D00A2"/>
    <w:rsid w:val="005D073E"/>
    <w:rsid w:val="005D545E"/>
    <w:rsid w:val="005D6513"/>
    <w:rsid w:val="005D7DB7"/>
    <w:rsid w:val="005E1FF6"/>
    <w:rsid w:val="005E4148"/>
    <w:rsid w:val="005E4A48"/>
    <w:rsid w:val="005E4CBF"/>
    <w:rsid w:val="005E4CE3"/>
    <w:rsid w:val="005F0864"/>
    <w:rsid w:val="005F6607"/>
    <w:rsid w:val="006005FD"/>
    <w:rsid w:val="006136CD"/>
    <w:rsid w:val="00614CE9"/>
    <w:rsid w:val="0062430C"/>
    <w:rsid w:val="00626321"/>
    <w:rsid w:val="00630F73"/>
    <w:rsid w:val="006320F5"/>
    <w:rsid w:val="00636F28"/>
    <w:rsid w:val="006411A0"/>
    <w:rsid w:val="0065112D"/>
    <w:rsid w:val="0065148D"/>
    <w:rsid w:val="00657E9B"/>
    <w:rsid w:val="00665B08"/>
    <w:rsid w:val="006678BE"/>
    <w:rsid w:val="00670180"/>
    <w:rsid w:val="00675E0A"/>
    <w:rsid w:val="0067671B"/>
    <w:rsid w:val="00684ECB"/>
    <w:rsid w:val="006923F5"/>
    <w:rsid w:val="00695D0E"/>
    <w:rsid w:val="006A6B2B"/>
    <w:rsid w:val="006A796E"/>
    <w:rsid w:val="006B5C47"/>
    <w:rsid w:val="006C0C44"/>
    <w:rsid w:val="006C37AF"/>
    <w:rsid w:val="006C42FD"/>
    <w:rsid w:val="006C5F47"/>
    <w:rsid w:val="006D47A4"/>
    <w:rsid w:val="006E2813"/>
    <w:rsid w:val="006E73BB"/>
    <w:rsid w:val="006F6FD4"/>
    <w:rsid w:val="00710179"/>
    <w:rsid w:val="00716A66"/>
    <w:rsid w:val="00722B56"/>
    <w:rsid w:val="007234F2"/>
    <w:rsid w:val="007269EF"/>
    <w:rsid w:val="00732F91"/>
    <w:rsid w:val="00733443"/>
    <w:rsid w:val="007343BF"/>
    <w:rsid w:val="007354A0"/>
    <w:rsid w:val="00740A74"/>
    <w:rsid w:val="00762F6E"/>
    <w:rsid w:val="0077220E"/>
    <w:rsid w:val="00785338"/>
    <w:rsid w:val="00785C87"/>
    <w:rsid w:val="00791D39"/>
    <w:rsid w:val="007A5D48"/>
    <w:rsid w:val="007A65BA"/>
    <w:rsid w:val="007A71EB"/>
    <w:rsid w:val="007A7A94"/>
    <w:rsid w:val="007B306A"/>
    <w:rsid w:val="007B62D8"/>
    <w:rsid w:val="007B774E"/>
    <w:rsid w:val="007C0504"/>
    <w:rsid w:val="007C177E"/>
    <w:rsid w:val="007C5569"/>
    <w:rsid w:val="007D6D3C"/>
    <w:rsid w:val="007E56C0"/>
    <w:rsid w:val="007F12D9"/>
    <w:rsid w:val="007F1C74"/>
    <w:rsid w:val="007F2AFC"/>
    <w:rsid w:val="007F2F62"/>
    <w:rsid w:val="007F60F9"/>
    <w:rsid w:val="007F745B"/>
    <w:rsid w:val="00807C0F"/>
    <w:rsid w:val="008132B2"/>
    <w:rsid w:val="00816C70"/>
    <w:rsid w:val="008200C9"/>
    <w:rsid w:val="008252DC"/>
    <w:rsid w:val="00825805"/>
    <w:rsid w:val="0082721B"/>
    <w:rsid w:val="00831D18"/>
    <w:rsid w:val="008335DE"/>
    <w:rsid w:val="00835DE9"/>
    <w:rsid w:val="00845286"/>
    <w:rsid w:val="008456FB"/>
    <w:rsid w:val="008533BB"/>
    <w:rsid w:val="00854CB1"/>
    <w:rsid w:val="008667E2"/>
    <w:rsid w:val="0086756C"/>
    <w:rsid w:val="00871850"/>
    <w:rsid w:val="00876D9A"/>
    <w:rsid w:val="00880CA0"/>
    <w:rsid w:val="008A0B35"/>
    <w:rsid w:val="008A382E"/>
    <w:rsid w:val="008B522C"/>
    <w:rsid w:val="008B6ADE"/>
    <w:rsid w:val="008C2E63"/>
    <w:rsid w:val="008C5B83"/>
    <w:rsid w:val="008C64A0"/>
    <w:rsid w:val="008D59DF"/>
    <w:rsid w:val="008E4272"/>
    <w:rsid w:val="008E450C"/>
    <w:rsid w:val="008E4601"/>
    <w:rsid w:val="008E5F96"/>
    <w:rsid w:val="008F73EE"/>
    <w:rsid w:val="008F7984"/>
    <w:rsid w:val="00907ACB"/>
    <w:rsid w:val="00922DBB"/>
    <w:rsid w:val="00937012"/>
    <w:rsid w:val="0094272C"/>
    <w:rsid w:val="009504E4"/>
    <w:rsid w:val="00960108"/>
    <w:rsid w:val="0096616D"/>
    <w:rsid w:val="0096795F"/>
    <w:rsid w:val="0097076D"/>
    <w:rsid w:val="009748EA"/>
    <w:rsid w:val="00974A0C"/>
    <w:rsid w:val="00976A49"/>
    <w:rsid w:val="00977A2F"/>
    <w:rsid w:val="00984107"/>
    <w:rsid w:val="00984745"/>
    <w:rsid w:val="00987887"/>
    <w:rsid w:val="00995D10"/>
    <w:rsid w:val="00997504"/>
    <w:rsid w:val="009979F6"/>
    <w:rsid w:val="009A6DF8"/>
    <w:rsid w:val="009A7E3B"/>
    <w:rsid w:val="009A7FFB"/>
    <w:rsid w:val="009C0855"/>
    <w:rsid w:val="009C0A39"/>
    <w:rsid w:val="009C41F2"/>
    <w:rsid w:val="009D06B6"/>
    <w:rsid w:val="009D62B4"/>
    <w:rsid w:val="009D7791"/>
    <w:rsid w:val="009E43FD"/>
    <w:rsid w:val="009E48A0"/>
    <w:rsid w:val="009F6EC2"/>
    <w:rsid w:val="00A00510"/>
    <w:rsid w:val="00A021F6"/>
    <w:rsid w:val="00A23A0F"/>
    <w:rsid w:val="00A33D50"/>
    <w:rsid w:val="00A34843"/>
    <w:rsid w:val="00A41A5A"/>
    <w:rsid w:val="00A42F05"/>
    <w:rsid w:val="00A47469"/>
    <w:rsid w:val="00A509F7"/>
    <w:rsid w:val="00A54602"/>
    <w:rsid w:val="00A64A9D"/>
    <w:rsid w:val="00A723D3"/>
    <w:rsid w:val="00A772FF"/>
    <w:rsid w:val="00A84FA2"/>
    <w:rsid w:val="00A856FF"/>
    <w:rsid w:val="00A85B10"/>
    <w:rsid w:val="00A90064"/>
    <w:rsid w:val="00A915F3"/>
    <w:rsid w:val="00A918A3"/>
    <w:rsid w:val="00A92066"/>
    <w:rsid w:val="00A9571A"/>
    <w:rsid w:val="00AA05C6"/>
    <w:rsid w:val="00AA1946"/>
    <w:rsid w:val="00AA462E"/>
    <w:rsid w:val="00AA4EBF"/>
    <w:rsid w:val="00AA68A6"/>
    <w:rsid w:val="00AB31F0"/>
    <w:rsid w:val="00AB6146"/>
    <w:rsid w:val="00AB7F7C"/>
    <w:rsid w:val="00AC0AD6"/>
    <w:rsid w:val="00AC0D9C"/>
    <w:rsid w:val="00AC194A"/>
    <w:rsid w:val="00AC57EB"/>
    <w:rsid w:val="00AC6F9C"/>
    <w:rsid w:val="00AD01B2"/>
    <w:rsid w:val="00AD19FD"/>
    <w:rsid w:val="00AD3BD0"/>
    <w:rsid w:val="00AE561A"/>
    <w:rsid w:val="00AF0EEF"/>
    <w:rsid w:val="00AF5712"/>
    <w:rsid w:val="00B01D7C"/>
    <w:rsid w:val="00B248D3"/>
    <w:rsid w:val="00B24BFB"/>
    <w:rsid w:val="00B309C8"/>
    <w:rsid w:val="00B40DDB"/>
    <w:rsid w:val="00B42449"/>
    <w:rsid w:val="00B42A25"/>
    <w:rsid w:val="00B4605D"/>
    <w:rsid w:val="00B519F3"/>
    <w:rsid w:val="00B52C16"/>
    <w:rsid w:val="00B61BE2"/>
    <w:rsid w:val="00B6320B"/>
    <w:rsid w:val="00B63E19"/>
    <w:rsid w:val="00B711B3"/>
    <w:rsid w:val="00B726B4"/>
    <w:rsid w:val="00B80CED"/>
    <w:rsid w:val="00B86785"/>
    <w:rsid w:val="00B91E12"/>
    <w:rsid w:val="00B947F3"/>
    <w:rsid w:val="00BA4810"/>
    <w:rsid w:val="00BB0506"/>
    <w:rsid w:val="00BB3426"/>
    <w:rsid w:val="00BC6118"/>
    <w:rsid w:val="00BD406B"/>
    <w:rsid w:val="00BD47A5"/>
    <w:rsid w:val="00BE0297"/>
    <w:rsid w:val="00BE0425"/>
    <w:rsid w:val="00BE1B9A"/>
    <w:rsid w:val="00BE284B"/>
    <w:rsid w:val="00BE62FB"/>
    <w:rsid w:val="00BE78D9"/>
    <w:rsid w:val="00BF1C80"/>
    <w:rsid w:val="00BF3AA6"/>
    <w:rsid w:val="00BF3C49"/>
    <w:rsid w:val="00C02C9A"/>
    <w:rsid w:val="00C03CD0"/>
    <w:rsid w:val="00C1128B"/>
    <w:rsid w:val="00C135FA"/>
    <w:rsid w:val="00C24A8D"/>
    <w:rsid w:val="00C317CA"/>
    <w:rsid w:val="00C36F5A"/>
    <w:rsid w:val="00C44E5B"/>
    <w:rsid w:val="00C46016"/>
    <w:rsid w:val="00C46BCD"/>
    <w:rsid w:val="00C6284E"/>
    <w:rsid w:val="00C721B4"/>
    <w:rsid w:val="00C8083F"/>
    <w:rsid w:val="00C858DB"/>
    <w:rsid w:val="00C86038"/>
    <w:rsid w:val="00C87D07"/>
    <w:rsid w:val="00C94383"/>
    <w:rsid w:val="00C951B3"/>
    <w:rsid w:val="00C96F81"/>
    <w:rsid w:val="00CA0DEB"/>
    <w:rsid w:val="00CA114B"/>
    <w:rsid w:val="00CA56F9"/>
    <w:rsid w:val="00CA5913"/>
    <w:rsid w:val="00CB391D"/>
    <w:rsid w:val="00CB6E88"/>
    <w:rsid w:val="00CB7F3B"/>
    <w:rsid w:val="00CC3903"/>
    <w:rsid w:val="00CC53E5"/>
    <w:rsid w:val="00CD10F1"/>
    <w:rsid w:val="00CD4526"/>
    <w:rsid w:val="00CE0492"/>
    <w:rsid w:val="00CE5676"/>
    <w:rsid w:val="00CF1627"/>
    <w:rsid w:val="00CF4618"/>
    <w:rsid w:val="00D04B75"/>
    <w:rsid w:val="00D071A3"/>
    <w:rsid w:val="00D110BA"/>
    <w:rsid w:val="00D13C64"/>
    <w:rsid w:val="00D171BE"/>
    <w:rsid w:val="00D17A75"/>
    <w:rsid w:val="00D17ED8"/>
    <w:rsid w:val="00D2397F"/>
    <w:rsid w:val="00D258C0"/>
    <w:rsid w:val="00D26095"/>
    <w:rsid w:val="00D34E05"/>
    <w:rsid w:val="00D370A5"/>
    <w:rsid w:val="00D41915"/>
    <w:rsid w:val="00D42316"/>
    <w:rsid w:val="00D45B1C"/>
    <w:rsid w:val="00D5174A"/>
    <w:rsid w:val="00D56C41"/>
    <w:rsid w:val="00D60C90"/>
    <w:rsid w:val="00D6420C"/>
    <w:rsid w:val="00D66298"/>
    <w:rsid w:val="00D739B1"/>
    <w:rsid w:val="00D75299"/>
    <w:rsid w:val="00D7669E"/>
    <w:rsid w:val="00D80620"/>
    <w:rsid w:val="00D824E1"/>
    <w:rsid w:val="00D94857"/>
    <w:rsid w:val="00D94D7E"/>
    <w:rsid w:val="00DA2A1B"/>
    <w:rsid w:val="00DA4004"/>
    <w:rsid w:val="00DB1B47"/>
    <w:rsid w:val="00DB1DD7"/>
    <w:rsid w:val="00DB2044"/>
    <w:rsid w:val="00DB2A5E"/>
    <w:rsid w:val="00DB2E93"/>
    <w:rsid w:val="00DB4BCE"/>
    <w:rsid w:val="00DB7A1D"/>
    <w:rsid w:val="00DC0013"/>
    <w:rsid w:val="00DC1216"/>
    <w:rsid w:val="00DD20D4"/>
    <w:rsid w:val="00DD2772"/>
    <w:rsid w:val="00DD3268"/>
    <w:rsid w:val="00DD448A"/>
    <w:rsid w:val="00DD6599"/>
    <w:rsid w:val="00DD7E24"/>
    <w:rsid w:val="00DE212D"/>
    <w:rsid w:val="00DE42E3"/>
    <w:rsid w:val="00DE6066"/>
    <w:rsid w:val="00DF115A"/>
    <w:rsid w:val="00DF31ED"/>
    <w:rsid w:val="00E0178B"/>
    <w:rsid w:val="00E02490"/>
    <w:rsid w:val="00E03BCF"/>
    <w:rsid w:val="00E05214"/>
    <w:rsid w:val="00E1084B"/>
    <w:rsid w:val="00E12F0E"/>
    <w:rsid w:val="00E1563B"/>
    <w:rsid w:val="00E17714"/>
    <w:rsid w:val="00E2768A"/>
    <w:rsid w:val="00E30DE3"/>
    <w:rsid w:val="00E34828"/>
    <w:rsid w:val="00E3488E"/>
    <w:rsid w:val="00E42CCB"/>
    <w:rsid w:val="00E434B9"/>
    <w:rsid w:val="00E5034C"/>
    <w:rsid w:val="00E51199"/>
    <w:rsid w:val="00E51650"/>
    <w:rsid w:val="00E55B08"/>
    <w:rsid w:val="00E624C3"/>
    <w:rsid w:val="00E709B2"/>
    <w:rsid w:val="00E73F97"/>
    <w:rsid w:val="00E74E25"/>
    <w:rsid w:val="00E75EAC"/>
    <w:rsid w:val="00E80FF3"/>
    <w:rsid w:val="00E8323A"/>
    <w:rsid w:val="00E83FBE"/>
    <w:rsid w:val="00E8608A"/>
    <w:rsid w:val="00E940E7"/>
    <w:rsid w:val="00E94BC9"/>
    <w:rsid w:val="00EA738E"/>
    <w:rsid w:val="00EB06B4"/>
    <w:rsid w:val="00EB1287"/>
    <w:rsid w:val="00EB1C44"/>
    <w:rsid w:val="00EB56E6"/>
    <w:rsid w:val="00EB61C2"/>
    <w:rsid w:val="00EB6228"/>
    <w:rsid w:val="00EB7C24"/>
    <w:rsid w:val="00EC0723"/>
    <w:rsid w:val="00ED3881"/>
    <w:rsid w:val="00ED4957"/>
    <w:rsid w:val="00ED4ED0"/>
    <w:rsid w:val="00EE3E7A"/>
    <w:rsid w:val="00EF214F"/>
    <w:rsid w:val="00EF2A9E"/>
    <w:rsid w:val="00EF4AC3"/>
    <w:rsid w:val="00EF53DD"/>
    <w:rsid w:val="00EF6EA7"/>
    <w:rsid w:val="00F04DAE"/>
    <w:rsid w:val="00F07F29"/>
    <w:rsid w:val="00F17EC0"/>
    <w:rsid w:val="00F2763E"/>
    <w:rsid w:val="00F30AB0"/>
    <w:rsid w:val="00F30C4E"/>
    <w:rsid w:val="00F3111D"/>
    <w:rsid w:val="00F3259D"/>
    <w:rsid w:val="00F3310E"/>
    <w:rsid w:val="00F420DF"/>
    <w:rsid w:val="00F420FC"/>
    <w:rsid w:val="00F45528"/>
    <w:rsid w:val="00F533A8"/>
    <w:rsid w:val="00F54D24"/>
    <w:rsid w:val="00F573FE"/>
    <w:rsid w:val="00F66B2B"/>
    <w:rsid w:val="00F67310"/>
    <w:rsid w:val="00F75A78"/>
    <w:rsid w:val="00F7631B"/>
    <w:rsid w:val="00F80996"/>
    <w:rsid w:val="00F813EE"/>
    <w:rsid w:val="00F81515"/>
    <w:rsid w:val="00F82A37"/>
    <w:rsid w:val="00F86025"/>
    <w:rsid w:val="00F93249"/>
    <w:rsid w:val="00F97EBA"/>
    <w:rsid w:val="00FA4657"/>
    <w:rsid w:val="00FA76B6"/>
    <w:rsid w:val="00FB08D4"/>
    <w:rsid w:val="00FB10D1"/>
    <w:rsid w:val="00FB2554"/>
    <w:rsid w:val="00FB60D7"/>
    <w:rsid w:val="00FC2418"/>
    <w:rsid w:val="00FC383E"/>
    <w:rsid w:val="00FC3EED"/>
    <w:rsid w:val="00FC58B6"/>
    <w:rsid w:val="00FC5FFC"/>
    <w:rsid w:val="00FD3132"/>
    <w:rsid w:val="00FD5F5A"/>
    <w:rsid w:val="00FD667A"/>
    <w:rsid w:val="00FD75E8"/>
    <w:rsid w:val="00FE3429"/>
    <w:rsid w:val="00FE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98729"/>
  <w15:docId w15:val="{45D63BF1-0233-4201-8663-79E4205F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rmal (Web)"/>
    <w:basedOn w:val="a"/>
    <w:uiPriority w:val="99"/>
    <w:unhideWhenUsed/>
    <w:rsid w:val="00A918A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BE0297"/>
    <w:rPr>
      <w:i/>
      <w:iCs/>
    </w:rPr>
  </w:style>
  <w:style w:type="paragraph" w:customStyle="1" w:styleId="14125">
    <w:name w:val="Стиль 14 пт По ширине Первая строка:  125 см"/>
    <w:basedOn w:val="a"/>
    <w:autoRedefine/>
    <w:uiPriority w:val="99"/>
    <w:rsid w:val="00DD6599"/>
    <w:pPr>
      <w:spacing w:after="0" w:line="240" w:lineRule="auto"/>
      <w:ind w:right="-1" w:firstLine="709"/>
      <w:jc w:val="both"/>
    </w:pPr>
    <w:rPr>
      <w:rFonts w:ascii="Times New Roman" w:eastAsia="Times New Roman" w:hAnsi="Times New Roman" w:cs="Times New Roman"/>
      <w:sz w:val="28"/>
      <w:szCs w:val="24"/>
    </w:rPr>
  </w:style>
  <w:style w:type="character" w:styleId="ac">
    <w:name w:val="Strong"/>
    <w:basedOn w:val="a0"/>
    <w:uiPriority w:val="22"/>
    <w:qFormat/>
    <w:rsid w:val="00DD6599"/>
    <w:rPr>
      <w:b/>
      <w:bCs/>
    </w:rPr>
  </w:style>
  <w:style w:type="character" w:styleId="ad">
    <w:name w:val="Hyperlink"/>
    <w:basedOn w:val="a0"/>
    <w:uiPriority w:val="99"/>
    <w:semiHidden/>
    <w:unhideWhenUsed/>
    <w:rsid w:val="00547323"/>
    <w:rPr>
      <w:color w:val="0000FF"/>
      <w:u w:val="single"/>
    </w:rPr>
  </w:style>
  <w:style w:type="paragraph" w:customStyle="1" w:styleId="10">
    <w:name w:val="Текст1"/>
    <w:basedOn w:val="a"/>
    <w:rsid w:val="00423FE7"/>
    <w:pPr>
      <w:suppressAutoHyphens/>
      <w:spacing w:after="0" w:line="240" w:lineRule="auto"/>
    </w:pPr>
    <w:rPr>
      <w:rFonts w:ascii="Courier New" w:eastAsia="Times New Roman" w:hAnsi="Courier New" w:cs="Courier New"/>
      <w:sz w:val="20"/>
      <w:szCs w:val="20"/>
      <w:lang w:eastAsia="ar-SA"/>
    </w:rPr>
  </w:style>
  <w:style w:type="paragraph" w:customStyle="1" w:styleId="im-mess">
    <w:name w:val="im-mess"/>
    <w:basedOn w:val="a"/>
    <w:rsid w:val="005C0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Знак Знак Знак"/>
    <w:link w:val="ConsNonformat0"/>
    <w:rsid w:val="002B05C5"/>
    <w:pPr>
      <w:widowControl w:val="0"/>
      <w:autoSpaceDE w:val="0"/>
      <w:autoSpaceDN w:val="0"/>
      <w:adjustRightInd w:val="0"/>
      <w:spacing w:after="0" w:line="240" w:lineRule="auto"/>
    </w:pPr>
    <w:rPr>
      <w:rFonts w:ascii="Courier New" w:eastAsia="Times New Roman" w:hAnsi="Courier New" w:cs="Courier New"/>
      <w:sz w:val="26"/>
      <w:szCs w:val="24"/>
    </w:rPr>
  </w:style>
  <w:style w:type="character" w:customStyle="1" w:styleId="ConsNonformat0">
    <w:name w:val="ConsNonformat Знак Знак Знак Знак"/>
    <w:link w:val="ConsNonformat"/>
    <w:locked/>
    <w:rsid w:val="002B05C5"/>
    <w:rPr>
      <w:rFonts w:ascii="Courier New" w:eastAsia="Times New Roman" w:hAnsi="Courier New" w:cs="Courier New"/>
      <w:sz w:val="26"/>
      <w:szCs w:val="24"/>
      <w:lang w:eastAsia="ru-RU"/>
    </w:rPr>
  </w:style>
  <w:style w:type="paragraph" w:customStyle="1" w:styleId="ConsPlusNormal">
    <w:name w:val="ConsPlusNormal"/>
    <w:rsid w:val="007A65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A65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A65B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A65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A65B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A65B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A65B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A65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A65B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342">
      <w:bodyDiv w:val="1"/>
      <w:marLeft w:val="0"/>
      <w:marRight w:val="0"/>
      <w:marTop w:val="0"/>
      <w:marBottom w:val="0"/>
      <w:divBdr>
        <w:top w:val="none" w:sz="0" w:space="0" w:color="auto"/>
        <w:left w:val="none" w:sz="0" w:space="0" w:color="auto"/>
        <w:bottom w:val="none" w:sz="0" w:space="0" w:color="auto"/>
        <w:right w:val="none" w:sz="0" w:space="0" w:color="auto"/>
      </w:divBdr>
    </w:div>
    <w:div w:id="46953553">
      <w:bodyDiv w:val="1"/>
      <w:marLeft w:val="0"/>
      <w:marRight w:val="0"/>
      <w:marTop w:val="0"/>
      <w:marBottom w:val="0"/>
      <w:divBdr>
        <w:top w:val="none" w:sz="0" w:space="0" w:color="auto"/>
        <w:left w:val="none" w:sz="0" w:space="0" w:color="auto"/>
        <w:bottom w:val="none" w:sz="0" w:space="0" w:color="auto"/>
        <w:right w:val="none" w:sz="0" w:space="0" w:color="auto"/>
      </w:divBdr>
      <w:divsChild>
        <w:div w:id="1491485639">
          <w:marLeft w:val="0"/>
          <w:marRight w:val="0"/>
          <w:marTop w:val="0"/>
          <w:marBottom w:val="0"/>
          <w:divBdr>
            <w:top w:val="none" w:sz="0" w:space="0" w:color="auto"/>
            <w:left w:val="none" w:sz="0" w:space="0" w:color="auto"/>
            <w:bottom w:val="none" w:sz="0" w:space="0" w:color="auto"/>
            <w:right w:val="none" w:sz="0" w:space="0" w:color="auto"/>
          </w:divBdr>
          <w:divsChild>
            <w:div w:id="582834208">
              <w:marLeft w:val="0"/>
              <w:marRight w:val="0"/>
              <w:marTop w:val="0"/>
              <w:marBottom w:val="0"/>
              <w:divBdr>
                <w:top w:val="none" w:sz="0" w:space="0" w:color="auto"/>
                <w:left w:val="none" w:sz="0" w:space="0" w:color="auto"/>
                <w:bottom w:val="none" w:sz="0" w:space="0" w:color="auto"/>
                <w:right w:val="none" w:sz="0" w:space="0" w:color="auto"/>
              </w:divBdr>
            </w:div>
          </w:divsChild>
        </w:div>
        <w:div w:id="370769769">
          <w:marLeft w:val="0"/>
          <w:marRight w:val="0"/>
          <w:marTop w:val="0"/>
          <w:marBottom w:val="0"/>
          <w:divBdr>
            <w:top w:val="none" w:sz="0" w:space="0" w:color="auto"/>
            <w:left w:val="none" w:sz="0" w:space="0" w:color="auto"/>
            <w:bottom w:val="none" w:sz="0" w:space="0" w:color="auto"/>
            <w:right w:val="none" w:sz="0" w:space="0" w:color="auto"/>
          </w:divBdr>
          <w:divsChild>
            <w:div w:id="601180530">
              <w:marLeft w:val="0"/>
              <w:marRight w:val="0"/>
              <w:marTop w:val="0"/>
              <w:marBottom w:val="0"/>
              <w:divBdr>
                <w:top w:val="none" w:sz="0" w:space="0" w:color="auto"/>
                <w:left w:val="none" w:sz="0" w:space="0" w:color="auto"/>
                <w:bottom w:val="none" w:sz="0" w:space="0" w:color="auto"/>
                <w:right w:val="none" w:sz="0" w:space="0" w:color="auto"/>
              </w:divBdr>
              <w:divsChild>
                <w:div w:id="929579025">
                  <w:marLeft w:val="0"/>
                  <w:marRight w:val="0"/>
                  <w:marTop w:val="0"/>
                  <w:marBottom w:val="0"/>
                  <w:divBdr>
                    <w:top w:val="none" w:sz="0" w:space="0" w:color="auto"/>
                    <w:left w:val="none" w:sz="0" w:space="0" w:color="auto"/>
                    <w:bottom w:val="none" w:sz="0" w:space="0" w:color="auto"/>
                    <w:right w:val="none" w:sz="0" w:space="0" w:color="auto"/>
                  </w:divBdr>
                </w:div>
                <w:div w:id="1618559945">
                  <w:marLeft w:val="0"/>
                  <w:marRight w:val="0"/>
                  <w:marTop w:val="0"/>
                  <w:marBottom w:val="0"/>
                  <w:divBdr>
                    <w:top w:val="none" w:sz="0" w:space="0" w:color="auto"/>
                    <w:left w:val="none" w:sz="0" w:space="0" w:color="auto"/>
                    <w:bottom w:val="none" w:sz="0" w:space="0" w:color="auto"/>
                    <w:right w:val="none" w:sz="0" w:space="0" w:color="auto"/>
                  </w:divBdr>
                </w:div>
              </w:divsChild>
            </w:div>
            <w:div w:id="1641761284">
              <w:marLeft w:val="0"/>
              <w:marRight w:val="0"/>
              <w:marTop w:val="0"/>
              <w:marBottom w:val="0"/>
              <w:divBdr>
                <w:top w:val="none" w:sz="0" w:space="0" w:color="auto"/>
                <w:left w:val="none" w:sz="0" w:space="0" w:color="auto"/>
                <w:bottom w:val="none" w:sz="0" w:space="0" w:color="auto"/>
                <w:right w:val="none" w:sz="0" w:space="0" w:color="auto"/>
              </w:divBdr>
              <w:divsChild>
                <w:div w:id="770976283">
                  <w:marLeft w:val="0"/>
                  <w:marRight w:val="0"/>
                  <w:marTop w:val="0"/>
                  <w:marBottom w:val="0"/>
                  <w:divBdr>
                    <w:top w:val="none" w:sz="0" w:space="0" w:color="auto"/>
                    <w:left w:val="none" w:sz="0" w:space="0" w:color="auto"/>
                    <w:bottom w:val="none" w:sz="0" w:space="0" w:color="auto"/>
                    <w:right w:val="none" w:sz="0" w:space="0" w:color="auto"/>
                  </w:divBdr>
                  <w:divsChild>
                    <w:div w:id="10525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8287">
      <w:bodyDiv w:val="1"/>
      <w:marLeft w:val="0"/>
      <w:marRight w:val="0"/>
      <w:marTop w:val="0"/>
      <w:marBottom w:val="0"/>
      <w:divBdr>
        <w:top w:val="none" w:sz="0" w:space="0" w:color="auto"/>
        <w:left w:val="none" w:sz="0" w:space="0" w:color="auto"/>
        <w:bottom w:val="none" w:sz="0" w:space="0" w:color="auto"/>
        <w:right w:val="none" w:sz="0" w:space="0" w:color="auto"/>
      </w:divBdr>
    </w:div>
    <w:div w:id="165051083">
      <w:bodyDiv w:val="1"/>
      <w:marLeft w:val="0"/>
      <w:marRight w:val="0"/>
      <w:marTop w:val="0"/>
      <w:marBottom w:val="0"/>
      <w:divBdr>
        <w:top w:val="none" w:sz="0" w:space="0" w:color="auto"/>
        <w:left w:val="none" w:sz="0" w:space="0" w:color="auto"/>
        <w:bottom w:val="none" w:sz="0" w:space="0" w:color="auto"/>
        <w:right w:val="none" w:sz="0" w:space="0" w:color="auto"/>
      </w:divBdr>
    </w:div>
    <w:div w:id="173349569">
      <w:bodyDiv w:val="1"/>
      <w:marLeft w:val="0"/>
      <w:marRight w:val="0"/>
      <w:marTop w:val="0"/>
      <w:marBottom w:val="0"/>
      <w:divBdr>
        <w:top w:val="none" w:sz="0" w:space="0" w:color="auto"/>
        <w:left w:val="none" w:sz="0" w:space="0" w:color="auto"/>
        <w:bottom w:val="none" w:sz="0" w:space="0" w:color="auto"/>
        <w:right w:val="none" w:sz="0" w:space="0" w:color="auto"/>
      </w:divBdr>
    </w:div>
    <w:div w:id="250941267">
      <w:bodyDiv w:val="1"/>
      <w:marLeft w:val="0"/>
      <w:marRight w:val="0"/>
      <w:marTop w:val="0"/>
      <w:marBottom w:val="0"/>
      <w:divBdr>
        <w:top w:val="none" w:sz="0" w:space="0" w:color="auto"/>
        <w:left w:val="none" w:sz="0" w:space="0" w:color="auto"/>
        <w:bottom w:val="none" w:sz="0" w:space="0" w:color="auto"/>
        <w:right w:val="none" w:sz="0" w:space="0" w:color="auto"/>
      </w:divBdr>
    </w:div>
    <w:div w:id="345060598">
      <w:bodyDiv w:val="1"/>
      <w:marLeft w:val="0"/>
      <w:marRight w:val="0"/>
      <w:marTop w:val="0"/>
      <w:marBottom w:val="0"/>
      <w:divBdr>
        <w:top w:val="none" w:sz="0" w:space="0" w:color="auto"/>
        <w:left w:val="none" w:sz="0" w:space="0" w:color="auto"/>
        <w:bottom w:val="none" w:sz="0" w:space="0" w:color="auto"/>
        <w:right w:val="none" w:sz="0" w:space="0" w:color="auto"/>
      </w:divBdr>
      <w:divsChild>
        <w:div w:id="87696841">
          <w:marLeft w:val="0"/>
          <w:marRight w:val="0"/>
          <w:marTop w:val="0"/>
          <w:marBottom w:val="960"/>
          <w:divBdr>
            <w:top w:val="none" w:sz="0" w:space="0" w:color="auto"/>
            <w:left w:val="none" w:sz="0" w:space="0" w:color="auto"/>
            <w:bottom w:val="none" w:sz="0" w:space="0" w:color="auto"/>
            <w:right w:val="none" w:sz="0" w:space="0" w:color="auto"/>
          </w:divBdr>
        </w:div>
        <w:div w:id="1521117450">
          <w:marLeft w:val="0"/>
          <w:marRight w:val="720"/>
          <w:marTop w:val="0"/>
          <w:marBottom w:val="0"/>
          <w:divBdr>
            <w:top w:val="none" w:sz="0" w:space="0" w:color="auto"/>
            <w:left w:val="none" w:sz="0" w:space="0" w:color="auto"/>
            <w:bottom w:val="none" w:sz="0" w:space="0" w:color="auto"/>
            <w:right w:val="none" w:sz="0" w:space="0" w:color="auto"/>
          </w:divBdr>
          <w:divsChild>
            <w:div w:id="762913865">
              <w:marLeft w:val="0"/>
              <w:marRight w:val="0"/>
              <w:marTop w:val="0"/>
              <w:marBottom w:val="120"/>
              <w:divBdr>
                <w:top w:val="none" w:sz="0" w:space="0" w:color="auto"/>
                <w:left w:val="none" w:sz="0" w:space="0" w:color="auto"/>
                <w:bottom w:val="none" w:sz="0" w:space="0" w:color="auto"/>
                <w:right w:val="none" w:sz="0" w:space="0" w:color="auto"/>
              </w:divBdr>
            </w:div>
            <w:div w:id="358120629">
              <w:marLeft w:val="0"/>
              <w:marRight w:val="0"/>
              <w:marTop w:val="0"/>
              <w:marBottom w:val="120"/>
              <w:divBdr>
                <w:top w:val="none" w:sz="0" w:space="0" w:color="auto"/>
                <w:left w:val="none" w:sz="0" w:space="0" w:color="auto"/>
                <w:bottom w:val="none" w:sz="0" w:space="0" w:color="auto"/>
                <w:right w:val="none" w:sz="0" w:space="0" w:color="auto"/>
              </w:divBdr>
            </w:div>
          </w:divsChild>
        </w:div>
        <w:div w:id="22562728">
          <w:marLeft w:val="0"/>
          <w:marRight w:val="0"/>
          <w:marTop w:val="0"/>
          <w:marBottom w:val="0"/>
          <w:divBdr>
            <w:top w:val="none" w:sz="0" w:space="0" w:color="auto"/>
            <w:left w:val="none" w:sz="0" w:space="0" w:color="auto"/>
            <w:bottom w:val="none" w:sz="0" w:space="0" w:color="auto"/>
            <w:right w:val="none" w:sz="0" w:space="0" w:color="auto"/>
          </w:divBdr>
          <w:divsChild>
            <w:div w:id="1593080350">
              <w:marLeft w:val="0"/>
              <w:marRight w:val="0"/>
              <w:marTop w:val="0"/>
              <w:marBottom w:val="0"/>
              <w:divBdr>
                <w:top w:val="none" w:sz="0" w:space="0" w:color="auto"/>
                <w:left w:val="none" w:sz="0" w:space="0" w:color="auto"/>
                <w:bottom w:val="none" w:sz="0" w:space="0" w:color="auto"/>
                <w:right w:val="none" w:sz="0" w:space="0" w:color="auto"/>
              </w:divBdr>
              <w:divsChild>
                <w:div w:id="980159083">
                  <w:marLeft w:val="0"/>
                  <w:marRight w:val="0"/>
                  <w:marTop w:val="0"/>
                  <w:marBottom w:val="0"/>
                  <w:divBdr>
                    <w:top w:val="none" w:sz="0" w:space="0" w:color="auto"/>
                    <w:left w:val="none" w:sz="0" w:space="0" w:color="auto"/>
                    <w:bottom w:val="none" w:sz="0" w:space="0" w:color="auto"/>
                    <w:right w:val="none" w:sz="0" w:space="0" w:color="auto"/>
                  </w:divBdr>
                </w:div>
                <w:div w:id="7406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52165">
      <w:bodyDiv w:val="1"/>
      <w:marLeft w:val="0"/>
      <w:marRight w:val="0"/>
      <w:marTop w:val="0"/>
      <w:marBottom w:val="0"/>
      <w:divBdr>
        <w:top w:val="none" w:sz="0" w:space="0" w:color="auto"/>
        <w:left w:val="none" w:sz="0" w:space="0" w:color="auto"/>
        <w:bottom w:val="none" w:sz="0" w:space="0" w:color="auto"/>
        <w:right w:val="none" w:sz="0" w:space="0" w:color="auto"/>
      </w:divBdr>
    </w:div>
    <w:div w:id="732703947">
      <w:bodyDiv w:val="1"/>
      <w:marLeft w:val="0"/>
      <w:marRight w:val="0"/>
      <w:marTop w:val="0"/>
      <w:marBottom w:val="0"/>
      <w:divBdr>
        <w:top w:val="none" w:sz="0" w:space="0" w:color="auto"/>
        <w:left w:val="none" w:sz="0" w:space="0" w:color="auto"/>
        <w:bottom w:val="none" w:sz="0" w:space="0" w:color="auto"/>
        <w:right w:val="none" w:sz="0" w:space="0" w:color="auto"/>
      </w:divBdr>
    </w:div>
    <w:div w:id="760563369">
      <w:bodyDiv w:val="1"/>
      <w:marLeft w:val="0"/>
      <w:marRight w:val="0"/>
      <w:marTop w:val="0"/>
      <w:marBottom w:val="0"/>
      <w:divBdr>
        <w:top w:val="none" w:sz="0" w:space="0" w:color="auto"/>
        <w:left w:val="none" w:sz="0" w:space="0" w:color="auto"/>
        <w:bottom w:val="none" w:sz="0" w:space="0" w:color="auto"/>
        <w:right w:val="none" w:sz="0" w:space="0" w:color="auto"/>
      </w:divBdr>
    </w:div>
    <w:div w:id="763569736">
      <w:bodyDiv w:val="1"/>
      <w:marLeft w:val="0"/>
      <w:marRight w:val="0"/>
      <w:marTop w:val="0"/>
      <w:marBottom w:val="0"/>
      <w:divBdr>
        <w:top w:val="none" w:sz="0" w:space="0" w:color="auto"/>
        <w:left w:val="none" w:sz="0" w:space="0" w:color="auto"/>
        <w:bottom w:val="none" w:sz="0" w:space="0" w:color="auto"/>
        <w:right w:val="none" w:sz="0" w:space="0" w:color="auto"/>
      </w:divBdr>
      <w:divsChild>
        <w:div w:id="2046102683">
          <w:marLeft w:val="0"/>
          <w:marRight w:val="720"/>
          <w:marTop w:val="0"/>
          <w:marBottom w:val="0"/>
          <w:divBdr>
            <w:top w:val="none" w:sz="0" w:space="0" w:color="auto"/>
            <w:left w:val="none" w:sz="0" w:space="0" w:color="auto"/>
            <w:bottom w:val="none" w:sz="0" w:space="0" w:color="auto"/>
            <w:right w:val="none" w:sz="0" w:space="0" w:color="auto"/>
          </w:divBdr>
          <w:divsChild>
            <w:div w:id="2119523261">
              <w:marLeft w:val="0"/>
              <w:marRight w:val="0"/>
              <w:marTop w:val="0"/>
              <w:marBottom w:val="120"/>
              <w:divBdr>
                <w:top w:val="none" w:sz="0" w:space="0" w:color="auto"/>
                <w:left w:val="none" w:sz="0" w:space="0" w:color="auto"/>
                <w:bottom w:val="none" w:sz="0" w:space="0" w:color="auto"/>
                <w:right w:val="none" w:sz="0" w:space="0" w:color="auto"/>
              </w:divBdr>
            </w:div>
          </w:divsChild>
        </w:div>
        <w:div w:id="1321009233">
          <w:marLeft w:val="0"/>
          <w:marRight w:val="0"/>
          <w:marTop w:val="0"/>
          <w:marBottom w:val="0"/>
          <w:divBdr>
            <w:top w:val="none" w:sz="0" w:space="0" w:color="auto"/>
            <w:left w:val="none" w:sz="0" w:space="0" w:color="auto"/>
            <w:bottom w:val="none" w:sz="0" w:space="0" w:color="auto"/>
            <w:right w:val="none" w:sz="0" w:space="0" w:color="auto"/>
          </w:divBdr>
          <w:divsChild>
            <w:div w:id="3843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7514">
      <w:bodyDiv w:val="1"/>
      <w:marLeft w:val="0"/>
      <w:marRight w:val="0"/>
      <w:marTop w:val="0"/>
      <w:marBottom w:val="0"/>
      <w:divBdr>
        <w:top w:val="none" w:sz="0" w:space="0" w:color="auto"/>
        <w:left w:val="none" w:sz="0" w:space="0" w:color="auto"/>
        <w:bottom w:val="none" w:sz="0" w:space="0" w:color="auto"/>
        <w:right w:val="none" w:sz="0" w:space="0" w:color="auto"/>
      </w:divBdr>
    </w:div>
    <w:div w:id="944731459">
      <w:bodyDiv w:val="1"/>
      <w:marLeft w:val="0"/>
      <w:marRight w:val="0"/>
      <w:marTop w:val="0"/>
      <w:marBottom w:val="0"/>
      <w:divBdr>
        <w:top w:val="none" w:sz="0" w:space="0" w:color="auto"/>
        <w:left w:val="none" w:sz="0" w:space="0" w:color="auto"/>
        <w:bottom w:val="none" w:sz="0" w:space="0" w:color="auto"/>
        <w:right w:val="none" w:sz="0" w:space="0" w:color="auto"/>
      </w:divBdr>
    </w:div>
    <w:div w:id="1030109001">
      <w:bodyDiv w:val="1"/>
      <w:marLeft w:val="0"/>
      <w:marRight w:val="0"/>
      <w:marTop w:val="0"/>
      <w:marBottom w:val="0"/>
      <w:divBdr>
        <w:top w:val="none" w:sz="0" w:space="0" w:color="auto"/>
        <w:left w:val="none" w:sz="0" w:space="0" w:color="auto"/>
        <w:bottom w:val="none" w:sz="0" w:space="0" w:color="auto"/>
        <w:right w:val="none" w:sz="0" w:space="0" w:color="auto"/>
      </w:divBdr>
    </w:div>
    <w:div w:id="1336692026">
      <w:bodyDiv w:val="1"/>
      <w:marLeft w:val="0"/>
      <w:marRight w:val="0"/>
      <w:marTop w:val="0"/>
      <w:marBottom w:val="0"/>
      <w:divBdr>
        <w:top w:val="none" w:sz="0" w:space="0" w:color="auto"/>
        <w:left w:val="none" w:sz="0" w:space="0" w:color="auto"/>
        <w:bottom w:val="none" w:sz="0" w:space="0" w:color="auto"/>
        <w:right w:val="none" w:sz="0" w:space="0" w:color="auto"/>
      </w:divBdr>
    </w:div>
    <w:div w:id="1400244954">
      <w:bodyDiv w:val="1"/>
      <w:marLeft w:val="0"/>
      <w:marRight w:val="0"/>
      <w:marTop w:val="0"/>
      <w:marBottom w:val="0"/>
      <w:divBdr>
        <w:top w:val="none" w:sz="0" w:space="0" w:color="auto"/>
        <w:left w:val="none" w:sz="0" w:space="0" w:color="auto"/>
        <w:bottom w:val="none" w:sz="0" w:space="0" w:color="auto"/>
        <w:right w:val="none" w:sz="0" w:space="0" w:color="auto"/>
      </w:divBdr>
    </w:div>
    <w:div w:id="1522161957">
      <w:bodyDiv w:val="1"/>
      <w:marLeft w:val="0"/>
      <w:marRight w:val="0"/>
      <w:marTop w:val="0"/>
      <w:marBottom w:val="0"/>
      <w:divBdr>
        <w:top w:val="none" w:sz="0" w:space="0" w:color="auto"/>
        <w:left w:val="none" w:sz="0" w:space="0" w:color="auto"/>
        <w:bottom w:val="none" w:sz="0" w:space="0" w:color="auto"/>
        <w:right w:val="none" w:sz="0" w:space="0" w:color="auto"/>
      </w:divBdr>
    </w:div>
    <w:div w:id="1688747058">
      <w:bodyDiv w:val="1"/>
      <w:marLeft w:val="0"/>
      <w:marRight w:val="0"/>
      <w:marTop w:val="0"/>
      <w:marBottom w:val="0"/>
      <w:divBdr>
        <w:top w:val="none" w:sz="0" w:space="0" w:color="auto"/>
        <w:left w:val="none" w:sz="0" w:space="0" w:color="auto"/>
        <w:bottom w:val="none" w:sz="0" w:space="0" w:color="auto"/>
        <w:right w:val="none" w:sz="0" w:space="0" w:color="auto"/>
      </w:divBdr>
      <w:divsChild>
        <w:div w:id="1418137677">
          <w:marLeft w:val="0"/>
          <w:marRight w:val="0"/>
          <w:marTop w:val="0"/>
          <w:marBottom w:val="0"/>
          <w:divBdr>
            <w:top w:val="none" w:sz="0" w:space="0" w:color="auto"/>
            <w:left w:val="none" w:sz="0" w:space="0" w:color="auto"/>
            <w:bottom w:val="none" w:sz="0" w:space="0" w:color="auto"/>
            <w:right w:val="none" w:sz="0" w:space="0" w:color="auto"/>
          </w:divBdr>
          <w:divsChild>
            <w:div w:id="983899784">
              <w:marLeft w:val="0"/>
              <w:marRight w:val="0"/>
              <w:marTop w:val="0"/>
              <w:marBottom w:val="0"/>
              <w:divBdr>
                <w:top w:val="none" w:sz="0" w:space="0" w:color="auto"/>
                <w:left w:val="none" w:sz="0" w:space="0" w:color="auto"/>
                <w:bottom w:val="none" w:sz="0" w:space="0" w:color="auto"/>
                <w:right w:val="none" w:sz="0" w:space="0" w:color="auto"/>
              </w:divBdr>
              <w:divsChild>
                <w:div w:id="2479403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15033661">
      <w:bodyDiv w:val="1"/>
      <w:marLeft w:val="0"/>
      <w:marRight w:val="0"/>
      <w:marTop w:val="0"/>
      <w:marBottom w:val="0"/>
      <w:divBdr>
        <w:top w:val="none" w:sz="0" w:space="0" w:color="auto"/>
        <w:left w:val="none" w:sz="0" w:space="0" w:color="auto"/>
        <w:bottom w:val="none" w:sz="0" w:space="0" w:color="auto"/>
        <w:right w:val="none" w:sz="0" w:space="0" w:color="auto"/>
      </w:divBdr>
    </w:div>
    <w:div w:id="1775174575">
      <w:bodyDiv w:val="1"/>
      <w:marLeft w:val="0"/>
      <w:marRight w:val="0"/>
      <w:marTop w:val="0"/>
      <w:marBottom w:val="0"/>
      <w:divBdr>
        <w:top w:val="none" w:sz="0" w:space="0" w:color="auto"/>
        <w:left w:val="none" w:sz="0" w:space="0" w:color="auto"/>
        <w:bottom w:val="none" w:sz="0" w:space="0" w:color="auto"/>
        <w:right w:val="none" w:sz="0" w:space="0" w:color="auto"/>
      </w:divBdr>
    </w:div>
    <w:div w:id="1789229189">
      <w:bodyDiv w:val="1"/>
      <w:marLeft w:val="0"/>
      <w:marRight w:val="0"/>
      <w:marTop w:val="0"/>
      <w:marBottom w:val="0"/>
      <w:divBdr>
        <w:top w:val="none" w:sz="0" w:space="0" w:color="auto"/>
        <w:left w:val="none" w:sz="0" w:space="0" w:color="auto"/>
        <w:bottom w:val="none" w:sz="0" w:space="0" w:color="auto"/>
        <w:right w:val="none" w:sz="0" w:space="0" w:color="auto"/>
      </w:divBdr>
    </w:div>
    <w:div w:id="1884173615">
      <w:bodyDiv w:val="1"/>
      <w:marLeft w:val="0"/>
      <w:marRight w:val="0"/>
      <w:marTop w:val="0"/>
      <w:marBottom w:val="0"/>
      <w:divBdr>
        <w:top w:val="none" w:sz="0" w:space="0" w:color="auto"/>
        <w:left w:val="none" w:sz="0" w:space="0" w:color="auto"/>
        <w:bottom w:val="none" w:sz="0" w:space="0" w:color="auto"/>
        <w:right w:val="none" w:sz="0" w:space="0" w:color="auto"/>
      </w:divBdr>
    </w:div>
    <w:div w:id="1921909361">
      <w:bodyDiv w:val="1"/>
      <w:marLeft w:val="0"/>
      <w:marRight w:val="0"/>
      <w:marTop w:val="0"/>
      <w:marBottom w:val="0"/>
      <w:divBdr>
        <w:top w:val="none" w:sz="0" w:space="0" w:color="auto"/>
        <w:left w:val="none" w:sz="0" w:space="0" w:color="auto"/>
        <w:bottom w:val="none" w:sz="0" w:space="0" w:color="auto"/>
        <w:right w:val="none" w:sz="0" w:space="0" w:color="auto"/>
      </w:divBdr>
    </w:div>
    <w:div w:id="1981184074">
      <w:bodyDiv w:val="1"/>
      <w:marLeft w:val="0"/>
      <w:marRight w:val="0"/>
      <w:marTop w:val="0"/>
      <w:marBottom w:val="0"/>
      <w:divBdr>
        <w:top w:val="none" w:sz="0" w:space="0" w:color="auto"/>
        <w:left w:val="none" w:sz="0" w:space="0" w:color="auto"/>
        <w:bottom w:val="none" w:sz="0" w:space="0" w:color="auto"/>
        <w:right w:val="none" w:sz="0" w:space="0" w:color="auto"/>
      </w:divBdr>
    </w:div>
    <w:div w:id="20803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8A26-C88D-4FC9-8FCB-202A2E6C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4244</Words>
  <Characters>24193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Шутов Никита Алексеевич</cp:lastModifiedBy>
  <cp:revision>2</cp:revision>
  <cp:lastPrinted>2024-06-04T17:42:00Z</cp:lastPrinted>
  <dcterms:created xsi:type="dcterms:W3CDTF">2024-12-24T20:44:00Z</dcterms:created>
  <dcterms:modified xsi:type="dcterms:W3CDTF">2024-12-24T20:44:00Z</dcterms:modified>
  <cp:category>Файлы документов</cp:category>
</cp:coreProperties>
</file>